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1066</w:t>
      </w:r>
    </w:p>
    <w:p>
      <w:pPr>
        <w:spacing w:before="0" w:after="0"/>
        <w:ind w:left="120"/>
        <w:jc w:val="center"/>
      </w:pPr>
      <w:r>
        <w:rPr>
          <w:rFonts w:ascii="Times New Roman" w:hAnsi="Times New Roman"/>
          <w:b w:val="false"/>
          <w:i w:val="false"/>
          <w:color w:val="000000"/>
          <w:sz w:val="21"/>
        </w:rPr>
        <w:t>DISCIPLINARY ACTION AGAINST LICENSEES</w:t>
      </w:r>
    </w:p>
    <w:p>
      <w:pPr>
        <w:spacing w:before="0" w:after="0"/>
        <w:ind w:left="120"/>
        <w:jc w:val="center"/>
      </w:pPr>
      <w:r>
        <w:rPr>
          <w:rFonts w:ascii="Times New Roman" w:hAnsi="Times New Roman"/>
          <w:b w:val="false"/>
          <w:i w:val="false"/>
          <w:color w:val="000000"/>
          <w:sz w:val="20"/>
        </w:rPr>
        <w:t>[Previously Ch 4; Ch 5, IAB 3/2/83]</w:t>
      </w:r>
    </w:p>
    <w:p>
      <w:pPr>
        <w:spacing w:before="0" w:after="0"/>
        <w:ind w:left="120"/>
        <w:jc w:val="center"/>
      </w:pPr>
      <w:r>
        <w:rPr>
          <w:rFonts w:ascii="Times New Roman" w:hAnsi="Times New Roman"/>
          <w:b w:val="false"/>
          <w:i w:val="false"/>
          <w:color w:val="000000"/>
          <w:sz w:val="20"/>
        </w:rPr>
        <w:t>[Prior to 7/13/88, see Architectural Examiners, Board of[80]]</w:t>
      </w:r>
    </w:p>
    <w:p>
      <w:pPr>
        <w:spacing w:before="0" w:after="0"/>
        <w:ind w:left="120"/>
        <w:jc w:val="center"/>
      </w:pPr>
      <w:r>
        <w:rPr>
          <w:rFonts w:ascii="Times New Roman" w:hAnsi="Times New Roman"/>
          <w:b w:val="false"/>
          <w:i w:val="false"/>
          <w:color w:val="000000"/>
          <w:sz w:val="20"/>
        </w:rPr>
        <w:t>[Prior to 10/3/01, see 193B—Chapter 5]</w:t>
      </w:r>
    </w:p>
    <w:p>
      <w:pPr>
        <w:spacing w:before="0" w:after="0"/>
        <w:ind w:left="120"/>
        <w:jc w:val="center"/>
      </w:pPr>
      <w:r>
        <w:rPr>
          <w:rFonts w:ascii="Times New Roman" w:hAnsi="Times New Roman"/>
          <w:b w:val="false"/>
          <w:i w:val="false"/>
          <w:color w:val="000000"/>
          <w:sz w:val="20"/>
        </w:rPr>
        <w:t>[Prior to 6/24/26, see Architectural Examining Board[193B]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481—1066.1</w:t>
      </w:r>
      <w:r>
        <w:rPr>
          <w:rFonts w:ascii="Times New Roman" w:hAnsi="Times New Roman"/>
          <w:b/>
          <w:i w:val="false"/>
          <w:color w:val="000000"/>
          <w:sz w:val="22"/>
        </w:rPr>
        <w:t xml:space="preserve">(544A,272C) </w:t>
      </w:r>
      <w:r>
        <w:rPr>
          <w:rFonts w:ascii="Times New Roman" w:hAnsi="Times New Roman"/>
          <w:b/>
          <w:i w:val="false"/>
          <w:color w:val="000000"/>
          <w:sz w:val="22"/>
        </w:rPr>
        <w:t xml:space="preserve">Disciplinary action. </w:t>
      </w:r>
      <w:r>
        <w:rPr>
          <w:rFonts w:ascii="Times New Roman" w:hAnsi="Times New Roman"/>
          <w:b w:val="false"/>
          <w:i w:val="false"/>
          <w:color w:val="000000"/>
          <w:sz w:val="22"/>
        </w:rPr>
        <w:t xml:space="preserve">The architectural examining board has authority in Iowa Code chapters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to impose discipline for violations of these chapters and the rules promulgated thereunder.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481—1066.2</w:t>
      </w:r>
      <w:r>
        <w:rPr>
          <w:rFonts w:ascii="Times New Roman" w:hAnsi="Times New Roman"/>
          <w:b/>
          <w:i w:val="false"/>
          <w:color w:val="000000"/>
          <w:sz w:val="22"/>
        </w:rPr>
        <w:t xml:space="preserve">(544A,272C) </w:t>
      </w:r>
      <w:r>
        <w:rPr>
          <w:rFonts w:ascii="Times New Roman" w:hAnsi="Times New Roman"/>
          <w:b/>
          <w:i w:val="false"/>
          <w:color w:val="000000"/>
          <w:sz w:val="22"/>
        </w:rPr>
        <w:t xml:space="preserve">Investigation of complaints. </w:t>
      </w:r>
      <w:r>
        <w:rPr>
          <w:rFonts w:ascii="Times New Roman" w:hAnsi="Times New Roman"/>
          <w:b w:val="false"/>
          <w:i w:val="false"/>
          <w:color w:val="000000"/>
          <w:sz w:val="22"/>
        </w:rPr>
        <w:t>The board will, upon receipt of a complaint in writing, or may, upon its own motion, pursuant to other evidence received by the board, review and investigate alleged acts or omissions that the board reasonably believes constitute cause under applicable law or administrative rules. In order to determine if probable cause exists for a hearing on a complaint, the investigators designated by the chairperson will investigate the allegations of the complaint. If the board determines that the complaint does not present facts that constitute a basis for disciplinary action, the board may take no further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481—1066.3</w:t>
      </w:r>
      <w:r>
        <w:rPr>
          <w:rFonts w:ascii="Times New Roman" w:hAnsi="Times New Roman"/>
          <w:b/>
          <w:i w:val="false"/>
          <w:color w:val="000000"/>
          <w:sz w:val="22"/>
        </w:rPr>
        <w:t xml:space="preserve">(544A,272C) </w:t>
      </w:r>
      <w:r>
        <w:rPr>
          <w:rFonts w:ascii="Times New Roman" w:hAnsi="Times New Roman"/>
          <w:b/>
          <w:i w:val="false"/>
          <w:color w:val="000000"/>
          <w:sz w:val="22"/>
        </w:rPr>
        <w:t xml:space="preserve">Peer investigative committee. </w:t>
      </w:r>
      <w:r>
        <w:rPr>
          <w:rFonts w:ascii="Times New Roman" w:hAnsi="Times New Roman"/>
          <w:b w:val="false"/>
          <w:i w:val="false"/>
          <w:color w:val="000000"/>
          <w:sz w:val="22"/>
        </w:rPr>
        <w:t>A peer investigative committee may be appointed by the chairperson to investigate a complaint. The committee members will consist of one or more architects who have been licensed to practice in Iowa for at least five years, serving at the discretion of the chairperson. The committee will review and determine the facts of the complaint and make a report to the board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481—1066.4</w:t>
      </w:r>
      <w:r>
        <w:rPr>
          <w:rFonts w:ascii="Times New Roman" w:hAnsi="Times New Roman"/>
          <w:b/>
          <w:i w:val="false"/>
          <w:color w:val="000000"/>
          <w:sz w:val="22"/>
        </w:rPr>
        <w:t xml:space="preserve">(544A,272C) </w:t>
      </w:r>
      <w:r>
        <w:rPr>
          <w:rFonts w:ascii="Times New Roman" w:hAnsi="Times New Roman"/>
          <w:b/>
          <w:i w:val="false"/>
          <w:color w:val="000000"/>
          <w:sz w:val="22"/>
        </w:rPr>
        <w:t xml:space="preserve">Investigation report. </w:t>
      </w:r>
      <w:r>
        <w:rPr>
          <w:rFonts w:ascii="Times New Roman" w:hAnsi="Times New Roman"/>
          <w:b w:val="false"/>
          <w:i w:val="false"/>
          <w:color w:val="000000"/>
          <w:sz w:val="22"/>
        </w:rPr>
        <w:t>Upon completion of the investigation, the investigator(s) will prepare for the board’s consideration a report containing the position or defense of the licensee to determine what further action is necessary. The board may: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Order the matter be further investigated.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Allow the licensee who is the subject of the complaint an opportunity to appear before a committee of the board for an informal discussion regarding the circumstances of the alleged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Determine there is no probable cause to believe a disciplinary violation has occurred and close the case.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Determine there is probable cause to believe that a disciplinary violation has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481—1066.5</w:t>
      </w:r>
      <w:r>
        <w:rPr>
          <w:rFonts w:ascii="Times New Roman" w:hAnsi="Times New Roman"/>
          <w:b/>
          <w:i w:val="false"/>
          <w:color w:val="000000"/>
          <w:sz w:val="22"/>
        </w:rPr>
        <w:t xml:space="preserve">(544A,272C)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board considers it advisable, or if requested by the affected licensee, the board may grant the licensee an opportunity to appear before the board or a committee of the board for a voluntary informal discussion of the facts and circumstances of an alleged violation. The licensee may be represented by legal counsel at the informal discussion. The licensee is not required to attend the informal discussion.</w:t>
      </w:r>
    </w:p>
    <w:p>
      <w:pPr>
        <w:spacing w:before="0" w:after="0"/>
        <w:ind w:left="120"/>
        <w:jc w:val="both"/>
      </w:pPr>
      <w:r>
        <w:rPr>
          <w:rFonts w:ascii="Times New Roman" w:hAnsi="Times New Roman"/>
          <w:b w:val="false"/>
          <w:i w:val="false"/>
          <w:color w:val="000000"/>
          <w:sz w:val="22"/>
        </w:rPr>
        <w:t>Unless disqualification is waived by the licensee, board members who personally investigated a disciplinary complaint are disqualified from making decisions at a later formal hearing. Because board members generally rely upon staff, investigators, auditors, peer review committees, or expert consultants to conduct investigations, the issue rarely arises. An informal discussion, however, is a form of investigation because it is conducted in a question-and-answer format. In order to preserve the ability of all board members to participate in board decision making, licensees who desire to attend an informal discussion will therefore waive their right to seek disqualification of a board member or staff based solely on the board member’s or staff’s participation in an informal discussion. Licensees would not be waiving their right to seek disqualification on any other ground. By electing to attend an informal discussion, a licensee accordingly agrees that participating board members or staff are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 The board may seek a consent order at the time of the informal discussion. If the parties agree to a consent order, a statement of charges will be filed simultaneously with the consent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481—1066.6</w:t>
      </w:r>
      <w:r>
        <w:rPr>
          <w:rFonts w:ascii="Times New Roman" w:hAnsi="Times New Roman"/>
          <w:b/>
          <w:i w:val="false"/>
          <w:color w:val="000000"/>
          <w:sz w:val="22"/>
        </w:rPr>
        <w:t xml:space="preserve">(544A,272C) </w:t>
      </w:r>
      <w:r>
        <w:rPr>
          <w:rFonts w:ascii="Times New Roman" w:hAnsi="Times New Roman"/>
          <w:b/>
          <w:i w:val="false"/>
          <w:color w:val="000000"/>
          <w:sz w:val="22"/>
        </w:rPr>
        <w:t xml:space="preserve">Decisions. </w:t>
      </w:r>
      <w:r>
        <w:rPr>
          <w:rFonts w:ascii="Times New Roman" w:hAnsi="Times New Roman"/>
          <w:b w:val="false"/>
          <w:i w:val="false"/>
          <w:color w:val="000000"/>
          <w:sz w:val="22"/>
        </w:rPr>
        <w:t>The board will make findings of fact and conclusions of law and may take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1066.6(1)</w:t>
      </w:r>
      <w:r>
        <w:rPr>
          <w:rFonts w:ascii="Times New Roman" w:hAnsi="Times New Roman"/>
          <w:b w:val="false"/>
          <w:i w:val="false"/>
          <w:color w:val="000000"/>
          <w:sz w:val="22"/>
        </w:rPr>
        <w:t> </w:t>
      </w:r>
      <w:r>
        <w:rPr>
          <w:rFonts w:ascii="Times New Roman" w:hAnsi="Times New Roman"/>
          <w:b w:val="false"/>
          <w:i w:val="false"/>
          <w:color w:val="000000"/>
          <w:sz w:val="22"/>
        </w:rPr>
        <w:t>Dismiss the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1066.6(2)</w:t>
      </w:r>
      <w:r>
        <w:rPr>
          <w:rFonts w:ascii="Times New Roman" w:hAnsi="Times New Roman"/>
          <w:b w:val="false"/>
          <w:i w:val="false"/>
          <w:color w:val="000000"/>
          <w:sz w:val="22"/>
        </w:rPr>
        <w:t> </w:t>
      </w:r>
      <w:r>
        <w:rPr>
          <w:rFonts w:ascii="Times New Roman" w:hAnsi="Times New Roman"/>
          <w:b w:val="false"/>
          <w:i w:val="false"/>
          <w:color w:val="000000"/>
          <w:sz w:val="22"/>
        </w:rPr>
        <w:t xml:space="preserve">Revoke the architect’s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1066.6(3)</w:t>
      </w:r>
      <w:r>
        <w:rPr>
          <w:rFonts w:ascii="Times New Roman" w:hAnsi="Times New Roman"/>
          <w:b w:val="false"/>
          <w:i w:val="false"/>
          <w:color w:val="000000"/>
          <w:sz w:val="22"/>
        </w:rPr>
        <w:t> </w:t>
      </w:r>
      <w:r>
        <w:rPr>
          <w:rFonts w:ascii="Times New Roman" w:hAnsi="Times New Roman"/>
          <w:b w:val="false"/>
          <w:i w:val="false"/>
          <w:color w:val="000000"/>
          <w:sz w:val="22"/>
        </w:rPr>
        <w:t>Suspend the licensee’s license as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1066.6(4)</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civil penalties, not to exceed $1,000. Civil penalties may be imposed for any of the disciplinary violations specified in Iowa Code sections </w:t>
      </w:r>
      <w:hyperlink r:id="rId8">
        <w:r>
          <w:rPr>
            <w:rStyle w:val="Hyperlink"/>
            <w:rFonts w:ascii="Times New Roman" w:hAnsi="Times New Roman"/>
            <w:b w:val="false"/>
            <w:i w:val="false"/>
            <w:color w:val="000000"/>
            <w:sz w:val="22"/>
          </w:rPr>
          <w:t>544A.13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xml:space="preserve"> and these rules. Factors the board may consider when determining whether to assess civil penalties and the amount to assess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other forms of discipline are being imposed for the same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licensee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Time lapsed since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Whether the licensee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licensee cooperated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Whether the licensee practiced architecture with a lapsed, inactive, suspended or revoked certificate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1066.6(5)</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either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1066.6(6)</w:t>
      </w:r>
      <w:r>
        <w:rPr>
          <w:rFonts w:ascii="Times New Roman" w:hAnsi="Times New Roman"/>
          <w:b w:val="false"/>
          <w:i w:val="false"/>
          <w:color w:val="000000"/>
          <w:sz w:val="22"/>
        </w:rPr>
        <w:t> </w:t>
      </w:r>
      <w:r>
        <w:rPr>
          <w:rFonts w:ascii="Times New Roman" w:hAnsi="Times New Roman"/>
          <w:b w:val="false"/>
          <w:i w:val="false"/>
          <w:color w:val="000000"/>
          <w:sz w:val="22"/>
        </w:rPr>
        <w:t>Require reexamination, using one or more parts of the examination given to architectural licensee candidates.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1066.6(7)</w:t>
      </w:r>
      <w:r>
        <w:rPr>
          <w:rFonts w:ascii="Times New Roman" w:hAnsi="Times New Roman"/>
          <w:b w:val="false"/>
          <w:i w:val="false"/>
          <w:color w:val="000000"/>
          <w:sz w:val="22"/>
        </w:rPr>
        <w:t> </w:t>
      </w:r>
      <w:r>
        <w:rPr>
          <w:rFonts w:ascii="Times New Roman" w:hAnsi="Times New Roman"/>
          <w:b w:val="false"/>
          <w:i w:val="false"/>
          <w:color w:val="000000"/>
          <w:sz w:val="22"/>
        </w:rPr>
        <w:t>Require additional professional education, reeducation, or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1066.6(8)</w:t>
      </w:r>
      <w:r>
        <w:rPr>
          <w:rFonts w:ascii="Times New Roman" w:hAnsi="Times New Roman"/>
          <w:b w:val="false"/>
          <w:i w:val="false"/>
          <w:color w:val="000000"/>
          <w:sz w:val="22"/>
        </w:rPr>
        <w:t> </w:t>
      </w:r>
      <w:r>
        <w:rPr>
          <w:rFonts w:ascii="Times New Roman" w:hAnsi="Times New Roman"/>
          <w:b w:val="false"/>
          <w:i w:val="false"/>
          <w:color w:val="000000"/>
          <w:sz w:val="22"/>
        </w:rPr>
        <w:t>Issue a citation and a warning.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1066.6(9)</w:t>
      </w:r>
      <w:r>
        <w:rPr>
          <w:rFonts w:ascii="Times New Roman" w:hAnsi="Times New Roman"/>
          <w:b w:val="false"/>
          <w:i w:val="false"/>
          <w:color w:val="000000"/>
          <w:sz w:val="22"/>
        </w:rPr>
        <w:t> </w:t>
      </w:r>
      <w:r>
        <w:rPr>
          <w:rFonts w:ascii="Times New Roman" w:hAnsi="Times New Roman"/>
          <w:b w:val="false"/>
          <w:i w:val="false"/>
          <w:color w:val="000000"/>
          <w:sz w:val="22"/>
        </w:rPr>
        <w:t>Issue a consent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481—1066.7</w:t>
      </w:r>
      <w:r>
        <w:rPr>
          <w:rFonts w:ascii="Times New Roman" w:hAnsi="Times New Roman"/>
          <w:b/>
          <w:i w:val="false"/>
          <w:color w:val="000000"/>
          <w:sz w:val="22"/>
        </w:rPr>
        <w:t xml:space="preserve">(544A,272C) </w:t>
      </w:r>
      <w:r>
        <w:rPr>
          <w:rFonts w:ascii="Times New Roman" w:hAnsi="Times New Roman"/>
          <w:b/>
          <w:i w:val="false"/>
          <w:color w:val="000000"/>
          <w:sz w:val="22"/>
        </w:rPr>
        <w:t xml:space="preserve">Voluntary surrender. </w:t>
      </w:r>
      <w:r>
        <w:rPr>
          <w:rFonts w:ascii="Times New Roman" w:hAnsi="Times New Roman"/>
          <w:b w:val="false"/>
          <w:i w:val="false"/>
          <w:color w:val="000000"/>
          <w:sz w:val="22"/>
        </w:rPr>
        <w:t>Voluntary surrender of licensure is considered as disciplinary action. The board may accept the voluntary surrender of a license to resolve a pending disciplinary contested case or pending disciplinary investigation. The board will not accept a voluntary surrender of a license to resolve a pending disciplinary investigation unless a statement of charges is filed along with the order accepting the voluntary surrender. Such voluntary surrender is considered disciplinary action and will be published in the same manner as is applicable to any other form of disciplinary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544A.13</w:t>
        </w:r>
      </w:hyperlink>
      <w:r>
        <w:rPr>
          <w:rFonts w:ascii="Times New Roman" w:hAnsi="Times New Roman"/>
          <w:b w:val="false"/>
          <w:i w:val="false"/>
          <w:color w:val="000000"/>
          <w:sz w:val="22"/>
        </w:rPr>
        <w:t xml:space="preserve"> and chapter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9/29/78, Notice 8/23/78—published 10/18/78, effective 11/22/78]</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12/6/91, Notice 10/3/91—published 12/25/91, effective 1/29/92]</w:t>
      </w:r>
    </w:p>
    <w:p>
      <w:pPr>
        <w:spacing w:before="0" w:after="0"/>
        <w:ind w:left="120"/>
        <w:jc w:val="center"/>
      </w:pPr>
      <w:r>
        <w:rPr>
          <w:rFonts w:ascii="Times New Roman" w:hAnsi="Times New Roman"/>
          <w:b w:val="false"/>
          <w:i w:val="false"/>
          <w:color w:val="000000"/>
          <w:sz w:val="21"/>
        </w:rPr>
        <w:t>[Filed 3/12/93, Notice 2/3/93—published 3/31/93, effective 5/5/93]</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4/5/96, Notice 1/3/96—published 4/24/96, effective 5/29/96]</w:t>
      </w:r>
    </w:p>
    <w:p>
      <w:pPr>
        <w:spacing w:before="0" w:after="0"/>
        <w:ind w:left="120"/>
        <w:jc w:val="center"/>
      </w:pPr>
      <w:r>
        <w:rPr>
          <w:rFonts w:ascii="Times New Roman" w:hAnsi="Times New Roman"/>
          <w:b w:val="false"/>
          <w:i w:val="false"/>
          <w:color w:val="000000"/>
          <w:sz w:val="21"/>
        </w:rPr>
        <w:t>[Filed 2/21/97, Notice 1/1/97—published 3/12/97, effective 4/16/97]</w:t>
      </w:r>
    </w:p>
    <w:p>
      <w:pPr>
        <w:spacing w:before="0" w:after="0"/>
        <w:ind w:left="120"/>
        <w:jc w:val="center"/>
      </w:pPr>
      <w:r>
        <w:rPr>
          <w:rFonts w:ascii="Times New Roman" w:hAnsi="Times New Roman"/>
          <w:b w:val="false"/>
          <w:i w:val="false"/>
          <w:color w:val="000000"/>
          <w:sz w:val="21"/>
        </w:rPr>
        <w:t>[Filed 4/30/98, Notice 12/31/97—published 5/20/98, effective 6/24/98]</w:t>
      </w:r>
    </w:p>
    <w:p>
      <w:pPr>
        <w:spacing w:before="0" w:after="0"/>
        <w:ind w:left="120"/>
        <w:jc w:val="center"/>
      </w:pPr>
      <w:r>
        <w:rPr>
          <w:rFonts w:ascii="Times New Roman" w:hAnsi="Times New Roman"/>
          <w:b w:val="false"/>
          <w:i w:val="false"/>
          <w:color w:val="000000"/>
          <w:sz w:val="21"/>
        </w:rPr>
        <w:t>[Filed 11/12/98, Notice 8/12/98—published 12/2/98, effective 1/6/99]</w:t>
      </w:r>
    </w:p>
    <w:p>
      <w:pPr>
        <w:spacing w:before="0" w:after="0"/>
        <w:ind w:left="120"/>
        <w:jc w:val="center"/>
      </w:pPr>
      <w:r>
        <w:rPr>
          <w:rFonts w:ascii="Times New Roman" w:hAnsi="Times New Roman"/>
          <w:b w:val="false"/>
          <w:i w:val="false"/>
          <w:color w:val="000000"/>
          <w:sz w:val="21"/>
        </w:rPr>
        <w:t>[Filed 5/13/99, Notice 2/24/99—published 6/2/99, effective 7/7/99]</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ARC 3336C</w:t>
      </w:r>
      <w:r>
        <w:rPr>
          <w:rFonts w:ascii="Times New Roman" w:hAnsi="Times New Roman"/>
          <w:b w:val="false"/>
          <w:i w:val="false"/>
          <w:color w:val="000000"/>
          <w:sz w:val="21"/>
        </w:rPr>
        <w:t xml:space="preserve"> (Notice ARC 3173C,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7761C</w:t>
      </w:r>
      <w:r>
        <w:rPr>
          <w:rFonts w:ascii="Times New Roman" w:hAnsi="Times New Roman"/>
          <w:b w:val="false"/>
          <w:i w:val="false"/>
          <w:color w:val="000000"/>
          <w:sz w:val="21"/>
        </w:rPr>
        <w:t xml:space="preserve"> (Notice ARC 7440C,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6/24/26]</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544A.13.pdf" Type="http://schemas.openxmlformats.org/officeDocument/2006/relationships/hyperlink" Id="rId8"/>
    <Relationship TargetMode="External" Target="https://www.legis.iowa.gov/docs/ico/chapter/544A.15.pdf" Type="http://schemas.openxmlformats.org/officeDocument/2006/relationships/hyperlink" Id="rId9"/>
    <Relationship TargetMode="External" Target="https://www.legis.iowa.gov/docs/ico/chapter/544A.13.pdf" Type="http://schemas.openxmlformats.org/officeDocument/2006/relationships/hyperlink" Id="rId10"/>
    <Relationship TargetMode="External" Target="https://www.legis.iowa.gov/docs/ico/chapter/272C.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