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20"/>
        </w:rPr>
        <w:t>[Prior to 7/13/88, see Architectural Examiners, Board of[80]]</w:t>
      </w:r>
    </w:p>
    <w:p>
      <w:pPr>
        <w:spacing w:before="0" w:after="0"/>
        <w:ind w:left="120"/>
        <w:jc w:val="center"/>
      </w:pPr>
      <w:r>
        <w:rPr>
          <w:rFonts w:ascii="Times New Roman" w:hAnsi="Times New Roman"/>
          <w:b w:val="false"/>
          <w:i w:val="false"/>
          <w:color w:val="000000"/>
          <w:sz w:val="20"/>
        </w:rPr>
        <w:t>[Prior to 6/24/26, see Architectural Examining Board[193B]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481—1063.1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The following rules adopted by the architectural examining board are in compliance with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requiring professional and occupational licensees to participate in a continuing education program as a condition of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w:t>
      </w:r>
      <w:r>
        <w:rPr>
          <w:rFonts w:ascii="Times New Roman" w:hAnsi="Times New Roman"/>
          <w:b w:val="false"/>
          <w:i w:val="false"/>
          <w:color w:val="000000"/>
          <w:sz w:val="22"/>
        </w:rPr>
        <w:t> </w:t>
      </w:r>
      <w:r>
        <w:rPr>
          <w:rFonts w:ascii="Times New Roman" w:hAnsi="Times New Roman"/>
          <w:b w:val="false"/>
          <w:i w:val="false"/>
          <w:color w:val="000000"/>
          <w:sz w:val="22"/>
        </w:rPr>
        <w:t>means postlicensure learning that enables a licensed architect to increase or update knowledge of and competence in technical and professional subjects related to the practice of architecture to safeguard the public’s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one continuous instructional hour (50 to 60 minutes of contact) spent in structured educational activities intended to increase or update the architect’s knowledge and competence in health, safety, and welfare subjects. If the provider of the structured educational activities prescribes a customary time for completion of such an activity and if the prescribed time is not deemed unreasonable by the board, then such prescribed time will be accepted for CEH purposes as the architect’s time irrespective of actual time spent on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means technical and professional subjects that the board deems appropriate to safeguard the public and that are within the following enumerated areas necessary for the proper evaluation, design, construction, and utilization of buildings and the built environment.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 systems: structural, mechanical, electrical, plumbing, communications, security, and fire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Construction contract administration: contracts, bidding, and contract negotiations.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documents: drawings, specifications, and delivery methods.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Design: urban planning, master planning, building design, site design, interiors, safety and security measures.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Environmental: energy efficiency, sustainability, natural resources, natural hazards, hazardous materials, weatherproofing, and insulation.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Legal: laws, codes, zoning, regulations, standards, life safety, accessibility, ethics, and insurance to protect owners and the public.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Materials and methods: construction systems, products, finishes, furnishings, and equipment.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Occupant comfort: air quality, lighting, acoustics, and ergonomics.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Predesign: land use analysis, programming, site selection, site and soils analysis, and surveying.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Preservation: historic, reuse, and adaptation.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 engaged in active practice”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the practice of architecture or earning monetary compensation by providing professional architectural services in any licensing jurisdiction of the United States or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“Retired from active practice”</w:t>
      </w:r>
      <w:r>
        <w:rPr>
          <w:rFonts w:ascii="Times New Roman" w:hAnsi="Times New Roman"/>
          <w:b w:val="false"/>
          <w:i w:val="false"/>
          <w:color w:val="000000"/>
          <w:sz w:val="22"/>
        </w:rPr>
        <w:t> </w:t>
      </w:r>
      <w:r>
        <w:rPr>
          <w:rFonts w:ascii="Times New Roman" w:hAnsi="Times New Roman"/>
          <w:b w:val="false"/>
          <w:i w:val="false"/>
          <w:color w:val="000000"/>
          <w:sz w:val="22"/>
        </w:rPr>
        <w:t>means the same as “not engaged in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educational activities”</w:t>
      </w:r>
      <w:r>
        <w:rPr>
          <w:rFonts w:ascii="Times New Roman" w:hAnsi="Times New Roman"/>
          <w:b w:val="false"/>
          <w:i w:val="false"/>
          <w:color w:val="000000"/>
          <w:sz w:val="22"/>
        </w:rPr>
        <w:t> </w:t>
      </w:r>
      <w:r>
        <w:rPr>
          <w:rFonts w:ascii="Times New Roman" w:hAnsi="Times New Roman"/>
          <w:b w:val="false"/>
          <w:i w:val="false"/>
          <w:color w:val="000000"/>
          <w:sz w:val="22"/>
        </w:rPr>
        <w:t>means educational activities in which at least 75 percent of an activity’s content and instructional time is to be devoted to health, safety, and welfare subjects related to the practice of architecture, including courses of study or other activities under the areas identified as health, safety, and welfare subjects and provided by qualified individuals or organizations, whether the courses of study or other activities are delivered by direct contact or distance learning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Basic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renew licensure, an architect must, in addition to meeting all other requirements, complete a minimum of 24 CEHs for each 24-month period since the architect’s last renewal of initial licensure or be exempt from these continuing education requirements as provided in rule </w:t>
      </w:r>
      <w:hyperlink r:id="rId8">
        <w:r>
          <w:rPr>
            <w:rStyle w:val="Hyperlink"/>
            <w:rFonts w:ascii="Times New Roman" w:hAnsi="Times New Roman"/>
            <w:b w:val="false"/>
            <w:i w:val="false"/>
            <w:color w:val="000000"/>
            <w:sz w:val="22"/>
          </w:rPr>
          <w:t>481—1063.5</w:t>
        </w:r>
      </w:hyperlink>
      <w:r>
        <w:rPr>
          <w:rFonts w:ascii="Times New Roman" w:hAnsi="Times New Roman"/>
          <w:b w:val="false"/>
          <w:i w:val="false"/>
          <w:color w:val="000000"/>
          <w:sz w:val="22"/>
        </w:rPr>
        <w:t>(544A,272C). Failure to comply with these requirements may result in nonrenewal of the architect’s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1063.3(2)</w:t>
      </w:r>
      <w:r>
        <w:rPr>
          <w:rFonts w:ascii="Times New Roman" w:hAnsi="Times New Roman"/>
          <w:b w:val="false"/>
          <w:i w:val="false"/>
          <w:color w:val="000000"/>
          <w:sz w:val="22"/>
        </w:rPr>
        <w:t> </w:t>
      </w:r>
      <w:r>
        <w:rPr>
          <w:rFonts w:ascii="Times New Roman" w:hAnsi="Times New Roman"/>
          <w:b w:val="false"/>
          <w:i w:val="false"/>
          <w:color w:val="000000"/>
          <w:sz w:val="22"/>
        </w:rPr>
        <w:t>All 24 CEHs must be completed in health, safety, and welfare subjects acquired in structured educational activities. CEHs may be acquired at any location. A licensee may carry over up to 12 CEHs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1063.3(3)</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complete and submit forms as required by the board certifying that the architect has completed the required CEHs. Forms may be audited by the board for verification of compliance with these requirements. Documentation of reported CEHs will be maintained by the architect for two years after the period for which the form was submitted. Any discrepancy between the number of CEHs reported and the number of CEHs actually supported by documentation may result in a disciplinary review. If, after the disciplinary review, the board disallows any CEHs, or the licensee has failed to complete the required CEHs, the architect will have 60 days from notification of the board to either provide further evidence of having completed the CEHs disallowed or remedy the disallowance by completing the required number of CEHs (provided that such CEHs are not used for the next renewal). An extension of time may be granted on an individual basis and must be requested by the licensee within 30 days of notification by the board. If the licensee fails to comply with the requirements of this subrule, the licensee may be subject to disciplinary action. If the board finds, after proper notice and hearing, that the architect willfully disregarded these requirements or falsified documentation of required CEHs, the architect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1063.3(4)</w:t>
      </w:r>
      <w:r>
        <w:rPr>
          <w:rFonts w:ascii="Times New Roman" w:hAnsi="Times New Roman"/>
          <w:b w:val="false"/>
          <w:i w:val="false"/>
          <w:color w:val="000000"/>
          <w:sz w:val="22"/>
        </w:rPr>
        <w:t> </w:t>
      </w:r>
      <w:r>
        <w:rPr>
          <w:rFonts w:ascii="Times New Roman" w:hAnsi="Times New Roman"/>
          <w:b w:val="false"/>
          <w:i w:val="false"/>
          <w:color w:val="000000"/>
          <w:sz w:val="22"/>
        </w:rPr>
        <w:t>An architect who holds licensure in Iowa for less than 12 months from the date of initial licensure or who is reinstating to active status is not required to report CEHs at the first license renewal. An architect who holds licensure in Iowa for 12 months or more, but less than 23 months from the date of initial licensure or who is reinstating to active status, is required to report 12 CEHs earned in the preceding 12 months at the first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Authorized structured educational activities. </w:t>
      </w:r>
      <w:r>
        <w:rPr>
          <w:rFonts w:ascii="Times New Roman" w:hAnsi="Times New Roman"/>
          <w:b w:val="false"/>
          <w:i w:val="false"/>
          <w:color w:val="000000"/>
          <w:sz w:val="22"/>
        </w:rPr>
        <w:t>The following list may be used by all licensees in determining the types of activities that may fulfill CE requirements if the activities are conducted as structured educational activities on health, safety, and welfare subjects: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 courses or seminars sponsored by colleges or universities.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Technical presentations held in conjunction with conventions or at seminars sponsored or accredited by the American Institute of Architects (AIA), Construction Specifications Institute, Construction Products Manufacturers Council, National Council of Architecture Registration Boards (NCARB), or similar organizations devoted to architectural education.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Distance learning sponsored by the AIA, NCARB, or similar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College or university credit courses. Each semester hour equals 12 CEHs. A quarter hour equals 8 CEHs.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481—1063.5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9">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licensed architect will be deemed to have complied with the continuing education requirements set forth in this chapter if the architect attests in the required affidavit that for not less than 21 months of the preceding two-year period of licensure,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licensure as an architect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an architect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1063.5(2)</w:t>
      </w:r>
      <w:r>
        <w:rPr>
          <w:rFonts w:ascii="Times New Roman" w:hAnsi="Times New Roman"/>
          <w:b w:val="false"/>
          <w:i w:val="false"/>
          <w:color w:val="000000"/>
          <w:sz w:val="22"/>
        </w:rPr>
        <w:t> </w:t>
      </w:r>
      <w:r>
        <w:rPr>
          <w:rFonts w:ascii="Times New Roman" w:hAnsi="Times New Roman"/>
          <w:b w:val="false"/>
          <w:i w:val="false"/>
          <w:color w:val="000000"/>
          <w:sz w:val="22"/>
        </w:rPr>
        <w:t>Architects who so attest on their affidavits that they are retired from active practice or are not engaged in active practice may maintain their licenses in retired or inactive status without satisfying CE requirements. Such architects may, however, reenter practice only after satisfying the board of their proficiency. Proficiency may be established by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verifiable evidence of compliance with the aggregate continuing education requirements for the reporting periods attested as retired from active practice or not engaged in active practice up to a maximum of 48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Retaking the architectural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Fulfilling alternative reentry requirements determined by the board that serve to assure the board of the current competency of the architect to engage in the practice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or other good cause. More information is contained in </w:t>
      </w:r>
      <w:hyperlink r:id="rId10">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3/2/82, Notice 1/6/82—published 3/31/82, effective 5/5/82]</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12/28/88—published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1625C</w:t>
      </w:r>
      <w:r>
        <w:rPr>
          <w:rFonts w:ascii="Times New Roman" w:hAnsi="Times New Roman"/>
          <w:b w:val="false"/>
          <w:i w:val="false"/>
          <w:color w:val="000000"/>
          <w:sz w:val="21"/>
        </w:rPr>
        <w:t xml:space="preserve"> (Notice ARC 1500C,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3022C</w:t>
      </w:r>
      <w:r>
        <w:rPr>
          <w:rFonts w:ascii="Times New Roman" w:hAnsi="Times New Roman"/>
          <w:b w:val="false"/>
          <w:i w:val="false"/>
          <w:color w:val="000000"/>
          <w:sz w:val="21"/>
        </w:rPr>
        <w:t xml:space="preserve"> (Notice ARC 2876C, IAB 1/4/17)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3333C</w:t>
      </w:r>
      <w:r>
        <w:rPr>
          <w:rFonts w:ascii="Times New Roman" w:hAnsi="Times New Roman"/>
          <w:b w:val="false"/>
          <w:i w:val="false"/>
          <w:color w:val="000000"/>
          <w:sz w:val="21"/>
        </w:rPr>
        <w:t xml:space="preserve"> (Notice ARC 3171C,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7758C</w:t>
      </w:r>
      <w:r>
        <w:rPr>
          <w:rFonts w:ascii="Times New Roman" w:hAnsi="Times New Roman"/>
          <w:b w:val="false"/>
          <w:i w:val="false"/>
          <w:color w:val="000000"/>
          <w:sz w:val="21"/>
        </w:rPr>
        <w:t xml:space="preserve"> (Notice ARC 7437C,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9100C</w:t>
      </w:r>
      <w:r>
        <w:rPr>
          <w:rFonts w:ascii="Times New Roman" w:hAnsi="Times New Roman"/>
          <w:b w:val="false"/>
          <w:i w:val="false"/>
          <w:color w:val="000000"/>
          <w:sz w:val="21"/>
        </w:rPr>
        <w:t xml:space="preserve"> (Notice ARC 8552C,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ac/rule/481.1063.5.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ac/chapter/7.2504.pdf" Type="http://schemas.openxmlformats.org/officeDocument/2006/relationships/hyperlink" Id="rId10"/>
    <Relationship TargetMode="External" Target="https://www.legis.iowa.gov/docs/ico/chapter/272C.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