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ARCHITECTURAL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20"/>
        </w:rPr>
        <w:t>[Prior to 7/13/88, see Architectural Examiners, Board of[80]]</w:t>
      </w:r>
    </w:p>
    <w:p>
      <w:pPr>
        <w:spacing w:before="0" w:after="0"/>
        <w:ind w:left="120"/>
        <w:jc w:val="center"/>
      </w:pPr>
      <w:r>
        <w:rPr>
          <w:rFonts w:ascii="Times New Roman" w:hAnsi="Times New Roman"/>
          <w:b w:val="false"/>
          <w:i w:val="false"/>
          <w:color w:val="000000"/>
          <w:sz w:val="20"/>
        </w:rPr>
        <w:t>[Prior to 6/24/26, see Architectural Examining Board[193B]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481—1061.1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architectural examining board is to administer and enforce the provisions of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with regard to the practice of architecture in the state of Iowa, including the examining of candidates, issuing licenses to practice architecture, assuring continuing competency through continued education, investigating violations and infractions of the architecture law, disciplining licensees, and imposing civil penalties against nonlicensees. To this end, the board has promulgated these rules to clarify the board’s intent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primary mission of the board is to protect the public interest. All board rules foster the guiding policies and principles described in Iowa Code section </w:t>
      </w:r>
      <w:hyperlink r:id="rId6">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The board and its licensees strive at all times to protect the public interest by promoting the highest standards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val="false"/>
          <w:color w:val="000000"/>
          <w:sz w:val="22"/>
        </w:rPr>
        <w:t>The board maintains a roster of all architects authorized to practice architecture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1061.1(4)</w:t>
      </w:r>
      <w:r>
        <w:rPr>
          <w:rFonts w:ascii="Times New Roman" w:hAnsi="Times New Roman"/>
          <w:b w:val="false"/>
          <w:i w:val="false"/>
          <w:color w:val="000000"/>
          <w:sz w:val="22"/>
        </w:rPr>
        <w:t> </w:t>
      </w:r>
      <w:r>
        <w:rPr>
          <w:rFonts w:ascii="Times New Roman" w:hAnsi="Times New Roman"/>
          <w:b w:val="false"/>
          <w:i w:val="false"/>
          <w:color w:val="000000"/>
          <w:sz w:val="22"/>
        </w:rPr>
        <w:t>Chairperson. The chairperson presides at all meetings, appoints all committees, and otherwise performs all duties pertaining to the office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1061.1(5)</w:t>
      </w:r>
      <w:r>
        <w:rPr>
          <w:rFonts w:ascii="Times New Roman" w:hAnsi="Times New Roman"/>
          <w:b w:val="false"/>
          <w:i w:val="false"/>
          <w:color w:val="000000"/>
          <w:sz w:val="22"/>
        </w:rPr>
        <w:t> </w:t>
      </w:r>
      <w:r>
        <w:rPr>
          <w:rFonts w:ascii="Times New Roman" w:hAnsi="Times New Roman"/>
          <w:b w:val="false"/>
          <w:i w:val="false"/>
          <w:color w:val="000000"/>
          <w:sz w:val="22"/>
        </w:rPr>
        <w:t>Vice chairperson. The vice chairperson, in the absence or incapacity of the chairperson, exercises the duties and possesses the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1061.1(6)</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administrator. The department of inspections, appeals, and licensing may employ a board administrator who will maintain all necessary records of the board and perform all duties in connection with the operation of the board office. The board administrator determines when the legal requirements for licensure have been satisfied with regard to issuance of certificates, licenses or registrations, and the board administrator submits to the board any questionable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481—1061.2</w:t>
      </w:r>
      <w:r>
        <w:rPr>
          <w:rFonts w:ascii="Times New Roman" w:hAnsi="Times New Roman"/>
          <w:b/>
          <w:i w:val="false"/>
          <w:color w:val="000000"/>
          <w:sz w:val="22"/>
        </w:rPr>
        <w:t xml:space="preserve">(544A,17A)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The first meeting scheduled after April 30 is the annual meeting. The chairperson and vice chairperson are elected to serve until their successors are elected. The newly elected officers assume the duties of their respective offices at the conclusion of the meeting at which they are elected. Officers may serve no more than three consecutive one-year terms in each office to which they are elected. Special meetings may be called by the chairperson or board administrator, who will set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481—1061.3</w:t>
      </w:r>
      <w:r>
        <w:rPr>
          <w:rFonts w:ascii="Times New Roman" w:hAnsi="Times New Roman"/>
          <w:b/>
          <w:i w:val="false"/>
          <w:color w:val="000000"/>
          <w:sz w:val="22"/>
        </w:rPr>
        <w:t xml:space="preserve">(544A,17A) </w:t>
      </w:r>
      <w:r>
        <w:rPr>
          <w:rFonts w:ascii="Times New Roman" w:hAnsi="Times New Roman"/>
          <w:b/>
          <w:i w:val="false"/>
          <w:color w:val="000000"/>
          <w:sz w:val="22"/>
        </w:rPr>
        <w:t xml:space="preserve">Certificates. </w:t>
      </w:r>
      <w:r>
        <w:rPr>
          <w:rFonts w:ascii="Times New Roman" w:hAnsi="Times New Roman"/>
          <w:b w:val="false"/>
          <w:i w:val="false"/>
          <w:color w:val="000000"/>
          <w:sz w:val="22"/>
        </w:rPr>
        <w:t xml:space="preserve">Certificates issued to successful applicants contain the licensee’s name and state license number. All licenses are renewable biennially on July 1, with licensees whose last names begin with the letters A through K renewing in even-numbered years and licensees whose last names begin with the letters L through Z renewing in odd-numbered years as provided in rule </w:t>
      </w:r>
      <w:hyperlink r:id="rId8">
        <w:r>
          <w:rPr>
            <w:rStyle w:val="Hyperlink"/>
            <w:rFonts w:ascii="Times New Roman" w:hAnsi="Times New Roman"/>
            <w:b w:val="false"/>
            <w:i w:val="false"/>
            <w:color w:val="000000"/>
            <w:sz w:val="22"/>
          </w:rPr>
          <w:t>481—1062.5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xml:space="preserve">The board will maintain an electronic roster of those holders of certificates of licensure who have failed to renew.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544A.8 through 544A.10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4/8/70, amended 1/2/74]</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6/15/95, Notice 4/26/95—published 7/5/95, effective 8/9/95]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1505C</w:t>
      </w:r>
      <w:r>
        <w:rPr>
          <w:rFonts w:ascii="Times New Roman" w:hAnsi="Times New Roman"/>
          <w:b w:val="false"/>
          <w:i w:val="false"/>
          <w:color w:val="000000"/>
          <w:sz w:val="21"/>
        </w:rPr>
        <w:t xml:space="preserve"> (Notice ARC 1251C, IAB 12/25/13)</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3331C</w:t>
      </w:r>
      <w:r>
        <w:rPr>
          <w:rFonts w:ascii="Times New Roman" w:hAnsi="Times New Roman"/>
          <w:b w:val="false"/>
          <w:i w:val="false"/>
          <w:color w:val="000000"/>
          <w:sz w:val="21"/>
        </w:rPr>
        <w:t xml:space="preserve"> (Notice ARC 3169C,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7756C</w:t>
      </w:r>
      <w:r>
        <w:rPr>
          <w:rFonts w:ascii="Times New Roman" w:hAnsi="Times New Roman"/>
          <w:b w:val="false"/>
          <w:i w:val="false"/>
          <w:color w:val="000000"/>
          <w:sz w:val="21"/>
        </w:rPr>
        <w:t xml:space="preserve"> (Notice ARC 7435C,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544A.5.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ac/rule/481.1062.5.pdf" Type="http://schemas.openxmlformats.org/officeDocument/2006/relationships/hyperlink" Id="rId8"/>
    <Relationship TargetMode="External" Target="https://www.legis.iowa.gov/docs/ico/chapter/544A.5.pdf" Type="http://schemas.openxmlformats.org/officeDocument/2006/relationships/hyperlink" Id="rId9"/>
    <Relationship TargetMode="External" Target="https://www.legis.iowa.gov/docs/ico/chapter/544A.8-10.pdf" Type="http://schemas.openxmlformats.org/officeDocument/2006/relationships/hyperlink" Id="rId10"/>
    <Relationship TargetMode="External" Target="https://www.legis.iowa.gov/docs/ico/chapter/272C.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