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1053</w:t>
      </w:r>
    </w:p>
    <w:p>
      <w:pPr>
        <w:spacing w:before="0" w:after="0"/>
        <w:ind w:left="120"/>
        <w:jc w:val="center"/>
      </w:pPr>
      <w:r>
        <w:rPr>
          <w:rFonts w:ascii="Times New Roman" w:hAnsi="Times New Roman"/>
          <w:b w:val="false"/>
          <w:i w:val="false"/>
          <w:color w:val="000000"/>
          <w:sz w:val="21"/>
        </w:rPr>
        <w:t>COMPLAINTS, INVESTIGATIONS AND DISCIPLINARY ACTION</w:t>
      </w:r>
    </w:p>
    <w:p>
      <w:pPr>
        <w:spacing w:before="0" w:after="0"/>
        <w:ind w:left="120"/>
        <w:jc w:val="center"/>
      </w:pPr>
      <w:r>
        <w:rPr>
          <w:rFonts w:ascii="Times New Roman" w:hAnsi="Times New Roman"/>
          <w:b w:val="false"/>
          <w:i w:val="false"/>
          <w:color w:val="000000"/>
          <w:sz w:val="20"/>
        </w:rPr>
        <w:t>[Prior to 11/14/01, see 193C—Chapter 4]</w:t>
      </w:r>
    </w:p>
    <w:p>
      <w:pPr>
        <w:spacing w:before="0" w:after="0"/>
        <w:ind w:left="120"/>
        <w:jc w:val="center"/>
      </w:pPr>
      <w:r>
        <w:rPr>
          <w:rFonts w:ascii="Times New Roman" w:hAnsi="Times New Roman"/>
          <w:b w:val="false"/>
          <w:i w:val="false"/>
          <w:color w:val="000000"/>
          <w:sz w:val="20"/>
        </w:rPr>
        <w:t>[Prior to 6/24/26, see Engineering and Land Surveying Examining Board[193C]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481—1053.1</w:t>
      </w:r>
      <w:r>
        <w:rPr>
          <w:rFonts w:ascii="Times New Roman" w:hAnsi="Times New Roman"/>
          <w:b/>
          <w:i w:val="false"/>
          <w:color w:val="000000"/>
          <w:sz w:val="22"/>
        </w:rPr>
        <w:t xml:space="preserve">(542B)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board, upon receipt of a complaint or upon its own motion pursuant to other evidence received by the board, reviews and investigates alleged acts or omissions that reasonably constitute cause under applicable law or administrative rule for licensee discipline. Complaints may be submitted to the board office via the board’s website by members of the public, including clients, business organizations, nonprofit organizations, governmental bodies, licensees, or other individuals or entities with knowledge of possible violations of laws or rules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r>
        <w:rPr>
          <w:rFonts w:ascii="Times New Roman" w:hAnsi="Times New Roman"/>
          <w:b w:val="false"/>
          <w:i w:val="false"/>
          <w:color w:val="000000"/>
          <w:sz w:val="22"/>
        </w:rPr>
        <w:t>A written complaint may be submitted on forms available from the board office and on the board’s website. The written complaint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individual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Citation of the statutes and administrative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that have been taken by the complainant to resolve the dispute with the respondent prior to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All written complaints received by the board are initially screened by the board’s administrator to determine whether the allegations of the complaint fall within the board’s investigatory jurisdiction and whether the facts presented, if true, would constitute a basis for disciplinary action against a licensee. Complaints that are clearly outside the board’s jurisdiction, which clearly do not allege facts upon which disciplinary action would be based, or that are frivolous will be referred by the board administrator to the board for closure at the next scheduled board meeting. All other complaints are referred by the board administrator to the board’s disciplinary committee for committee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1053.1(4)</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allegations. </w:t>
      </w:r>
      <w:r>
        <w:rPr>
          <w:rFonts w:ascii="Times New Roman" w:hAnsi="Times New Roman"/>
          <w:b w:val="false"/>
          <w:i w:val="false"/>
          <w:color w:val="000000"/>
          <w:sz w:val="22"/>
        </w:rPr>
        <w:t>In order to determine if probable cause exists for a hearing on the complaint, the board may cause an investigation to be made into the allegations of the complaint. It may refer the complaint to a peer review committee or investigator for investigation,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1053.1(5)</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It is not necessary for the licensee to attend the informal discussion. By electing to attend, the licensee waives the right to seek disqualification, based upon personal investigation of a board member or staff, from participating in making a contested case decision or acting as a presiding officer in a later contested case proceeding. 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Complainants are immune from civil liability under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1053.1(7)</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the board may initiate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1053.1(8)</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481—1053.2</w:t>
      </w:r>
      <w:r>
        <w:rPr>
          <w:rFonts w:ascii="Times New Roman" w:hAnsi="Times New Roman"/>
          <w:b/>
          <w:i w:val="false"/>
          <w:color w:val="000000"/>
          <w:sz w:val="22"/>
        </w:rPr>
        <w:t xml:space="preserve">(542B) </w:t>
      </w:r>
      <w:r>
        <w:rPr>
          <w:rFonts w:ascii="Times New Roman" w:hAnsi="Times New Roman"/>
          <w:b/>
          <w:i w:val="false"/>
          <w:color w:val="000000"/>
          <w:sz w:val="22"/>
        </w:rPr>
        <w:t xml:space="preserve">Ruling on the initial inquiry.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1053.2(1)</w:t>
      </w: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If a determination is made by the board that a complaint is without grounds or merit, the complaint will be dismissed. A letter of explanation concerning the decision of the board will be sent to the respondent and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1053.2(2)</w:t>
      </w:r>
      <w:r>
        <w:rPr>
          <w:rFonts w:ascii="Times New Roman" w:hAnsi="Times New Roman"/>
          <w:b w:val="false"/>
          <w:i w:val="false"/>
          <w:color w:val="000000"/>
          <w:sz w:val="22"/>
        </w:rPr>
        <w:t> </w:t>
      </w:r>
      <w:r>
        <w:rPr>
          <w:rFonts w:ascii="Times New Roman" w:hAnsi="Times New Roman"/>
          <w:b w:val="false"/>
          <w:i/>
          <w:color w:val="000000"/>
          <w:sz w:val="22"/>
        </w:rPr>
        <w:t xml:space="preserve">Requirement of further inquiry. </w:t>
      </w:r>
      <w:r>
        <w:rPr>
          <w:rFonts w:ascii="Times New Roman" w:hAnsi="Times New Roman"/>
          <w:b w:val="false"/>
          <w:i w:val="false"/>
          <w:color w:val="000000"/>
          <w:sz w:val="22"/>
        </w:rPr>
        <w:t>If determination is made by the board to order further inquiry, the complaint and initial recommendations will be provided to the investigator(s) along with a statement specifying the information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1053.2(3)</w:t>
      </w:r>
      <w:r>
        <w:rPr>
          <w:rFonts w:ascii="Times New Roman" w:hAnsi="Times New Roman"/>
          <w:b w:val="false"/>
          <w:i w:val="false"/>
          <w:color w:val="000000"/>
          <w:sz w:val="22"/>
        </w:rPr>
        <w:t> </w:t>
      </w:r>
      <w:r>
        <w:rPr>
          <w:rFonts w:ascii="Times New Roman" w:hAnsi="Times New Roman"/>
          <w:b w:val="false"/>
          <w:i/>
          <w:color w:val="000000"/>
          <w:sz w:val="22"/>
        </w:rPr>
        <w:t xml:space="preserve">Acceptance of the case. </w:t>
      </w:r>
      <w:r>
        <w:rPr>
          <w:rFonts w:ascii="Times New Roman" w:hAnsi="Times New Roman"/>
          <w:b w:val="false"/>
          <w:i w:val="false"/>
          <w:color w:val="000000"/>
          <w:sz w:val="22"/>
        </w:rPr>
        <w:t xml:space="preserve">If a determination is made by the board to initiate disciplinary action, the board may enter into an informal settlement or recommend formal disciplinary proceedings. The board’s rules regarding informal settlement are found in rule </w:t>
      </w:r>
      <w:hyperlink r:id="rId6">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481—1053.3</w:t>
      </w:r>
      <w:r>
        <w:rPr>
          <w:rFonts w:ascii="Times New Roman" w:hAnsi="Times New Roman"/>
          <w:b/>
          <w:i w:val="false"/>
          <w:color w:val="000000"/>
          <w:sz w:val="22"/>
        </w:rPr>
        <w:t xml:space="preserve">(10A,17A,272C,542B)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authority pursuant to Iowa Code chapters </w:t>
      </w:r>
      <w:hyperlink r:id="rId10">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those chapters and the rules promulgated thereunder and may initiate disciplinary action against a licensee holding an active, inactive or lapsed license on any of the grounds identified in Iowa Code section </w:t>
      </w:r>
      <w:hyperlink r:id="rId14">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1053.3(1)</w:t>
      </w:r>
      <w:r>
        <w:rPr>
          <w:rFonts w:ascii="Times New Roman" w:hAnsi="Times New Roman"/>
          <w:b w:val="false"/>
          <w:i w:val="false"/>
          <w:color w:val="000000"/>
          <w:sz w:val="22"/>
        </w:rPr>
        <w:t> </w:t>
      </w:r>
      <w:r>
        <w:rPr>
          <w:rFonts w:ascii="Times New Roman" w:hAnsi="Times New Roman"/>
          <w:b w:val="false"/>
          <w:i w:val="false"/>
          <w:color w:val="000000"/>
          <w:sz w:val="22"/>
        </w:rPr>
        <w:t>Fraud or deceit in procuring or attempting to procure an initial, comity, renewal, or reinstated license includes any intentional perversion of or reckless disregard for the truth when an application, or information in support of another’s application, is submitted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record or document, such as a college transcript, diploma or degree, examination report, verification of licensure, or continuing education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Reporting information, such as satisfaction of continuing education, in a false manner, through overt deceit, or with reckless disregard for the truth or accuracy of the information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minimum standards of acceptable and prevailing practice of engineering or land surveying in this state, including the land surveying standards set forth in Iowa Code chapters </w:t>
      </w:r>
      <w:hyperlink r:id="rId15">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355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481—Chapters 1055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1056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engineering or land surveying practices that are outside the technical competence of the licensee without taking reasonable steps to associate with a competent licensee or other steps to ensure competent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act or omission that demonstrates an inability to safely practice in a manner protective of the public’s interest, including acts or omissions described in rule </w:t>
      </w:r>
      <w:hyperlink r:id="rId19">
        <w:r>
          <w:rPr>
            <w:rStyle w:val="Hyperlink"/>
            <w:rFonts w:ascii="Times New Roman" w:hAnsi="Times New Roman"/>
            <w:b w:val="false"/>
            <w:i w:val="false"/>
            <w:color w:val="000000"/>
            <w:sz w:val="22"/>
          </w:rPr>
          <w:t>481—1052.3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1053.3(3)</w:t>
      </w:r>
      <w:r>
        <w:rPr>
          <w:rFonts w:ascii="Times New Roman" w:hAnsi="Times New Roman"/>
          <w:b w:val="false"/>
          <w:i w:val="false"/>
          <w:color w:val="000000"/>
          <w:sz w:val="22"/>
        </w:rPr>
        <w:t> </w:t>
      </w:r>
      <w:r>
        <w:rPr>
          <w:rFonts w:ascii="Times New Roman" w:hAnsi="Times New Roman"/>
          <w:b w:val="false"/>
          <w:i w:val="false"/>
          <w:color w:val="000000"/>
          <w:sz w:val="22"/>
        </w:rPr>
        <w:t>Deceptive practices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or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false or misleading reports or information to the board, including information supplied in an audit of continuing education or as a condition of probation or in a reference submitted for an examination or a license applicant or in any reports identified in this rule or rule </w:t>
      </w:r>
      <w:hyperlink r:id="rId20">
        <w:r>
          <w:rPr>
            <w:rStyle w:val="Hyperlink"/>
            <w:rFonts w:ascii="Times New Roman" w:hAnsi="Times New Roman"/>
            <w:b w:val="false"/>
            <w:i w:val="false"/>
            <w:color w:val="000000"/>
            <w:sz w:val="22"/>
          </w:rPr>
          <w:t>481—1052.3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the license, signature, or seal of another or of a fictitious licensee, or otherwise falsely impersonating a person holding an engineering or land surveying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professional engineer or professional land surveyor after the license has been suspended, revoked, surrendered, or placed on inactive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21">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xml:space="preserve"> or associated rules in </w:t>
      </w:r>
      <w:hyperlink r:id="rId22">
        <w:r>
          <w:rPr>
            <w:rStyle w:val="Hyperlink"/>
            <w:rFonts w:ascii="Times New Roman" w:hAnsi="Times New Roman"/>
            <w:b w:val="false"/>
            <w:i w:val="false"/>
            <w:color w:val="000000"/>
            <w:sz w:val="22"/>
          </w:rPr>
          <w:t>481—Chapter 1050</w:t>
        </w:r>
      </w:hyperlink>
      <w:r>
        <w:rPr>
          <w:rFonts w:ascii="Times New Roman" w:hAnsi="Times New Roman"/>
          <w:b w:val="false"/>
          <w:i w:val="false"/>
          <w:color w:val="000000"/>
          <w:sz w:val="22"/>
        </w:rPr>
        <w:t xml:space="preserve"> involving a licensee’s seal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1053.3(4)</w:t>
      </w:r>
      <w:r>
        <w:rPr>
          <w:rFonts w:ascii="Times New Roman" w:hAnsi="Times New Roman"/>
          <w:b w:val="false"/>
          <w:i w:val="false"/>
          <w:color w:val="000000"/>
          <w:sz w:val="22"/>
        </w:rPr>
        <w:t> </w:t>
      </w:r>
      <w:r>
        <w:rPr>
          <w:rFonts w:ascii="Times New Roman" w:hAnsi="Times New Roman"/>
          <w:b w:val="false"/>
          <w:i w:val="false"/>
          <w:color w:val="000000"/>
          <w:sz w:val="22"/>
        </w:rPr>
        <w:t>Behaviors and conduct that are unethical or harmful or detrimental to the public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the code of professional conduct in </w:t>
      </w:r>
      <w:hyperlink r:id="rId23">
        <w:r>
          <w:rPr>
            <w:rStyle w:val="Hyperlink"/>
            <w:rFonts w:ascii="Times New Roman" w:hAnsi="Times New Roman"/>
            <w:b w:val="false"/>
            <w:i w:val="false"/>
            <w:color w:val="000000"/>
            <w:sz w:val="22"/>
          </w:rPr>
          <w:t>481—Chapter 1052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or improper sexual contact, if such behavior occurs within the practice of engineering or land surveying or if such behavior otherwise provides a reasonable basis for the board to conclude that such behavior could occur within such practice and, if so,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 violation of a provision of Iowa Code section </w:t>
      </w:r>
      <w:hyperlink r:id="rId24">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1053.3(5)</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proper qualifications, as provided in Iowa Code section </w:t>
      </w:r>
      <w:hyperlink r:id="rId25">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an engineer or land surveyor without satisfying the continuing education required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26">
        <w:r>
          <w:rPr>
            <w:rStyle w:val="Hyperlink"/>
            <w:rFonts w:ascii="Times New Roman" w:hAnsi="Times New Roman"/>
            <w:b w:val="false"/>
            <w:i w:val="false"/>
            <w:color w:val="000000"/>
            <w:sz w:val="22"/>
          </w:rPr>
          <w:t>542B.21(4)</w:t>
        </w:r>
      </w:hyperlink>
      <w:r>
        <w:rPr>
          <w:rFonts w:ascii="Times New Roman" w:hAnsi="Times New Roman"/>
          <w:b w:val="false"/>
          <w:i w:val="false"/>
          <w:color w:val="000000"/>
          <w:sz w:val="22"/>
        </w:rPr>
        <w:t xml:space="preserve"> that adversely affects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1053.3(6)</w:t>
      </w:r>
      <w:r>
        <w:rPr>
          <w:rFonts w:ascii="Times New Roman" w:hAnsi="Times New Roman"/>
          <w:b w:val="false"/>
          <w:i w:val="false"/>
          <w:color w:val="000000"/>
          <w:sz w:val="22"/>
        </w:rPr>
        <w:t> </w:t>
      </w:r>
      <w:r>
        <w:rPr>
          <w:rFonts w:ascii="Times New Roman" w:hAnsi="Times New Roman"/>
          <w:b w:val="false"/>
          <w:i w:val="false"/>
          <w:color w:val="000000"/>
          <w:sz w:val="22"/>
        </w:rPr>
        <w:t>Professional misconduct, which includes, but is not limited to, revocation, suspension, or other disciplinary action taken against a licensee by a licensing authority of this state or another state, territory, or country. “Disciplinary action” includes a voluntary surrender of a license to resolve a pending disciplinary investigation or proceeding. A stay by an appellate court does not negate this requirement; however, if such disciplinary action is overturned or reversed by a court of last resort, discipline by the board based solely on such action shall be vacated. A licensee shall notify the board of such disciplinary action within 30 days of the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1053.3(7)</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include the willful or repeated violation or disregard of any provision of Iowa Code chapter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1053.3(8)</w:t>
      </w:r>
      <w:r>
        <w:rPr>
          <w:rFonts w:ascii="Times New Roman" w:hAnsi="Times New Roman"/>
          <w:b w:val="false"/>
          <w:i w:val="false"/>
          <w:color w:val="000000"/>
          <w:sz w:val="22"/>
        </w:rPr>
        <w:t> </w:t>
      </w:r>
      <w:r>
        <w:rPr>
          <w:rFonts w:ascii="Times New Roman" w:hAnsi="Times New Roman"/>
          <w:b w:val="false"/>
          <w:i w:val="false"/>
          <w:color w:val="000000"/>
          <w:sz w:val="22"/>
        </w:rPr>
        <w:t>Conviction of felony includes the conviction of a felony under the laws of the United States, of any state or possession of the United States, or of any other country. The board will vacate any discipline based solely on a conviction, if that conviction is overturned or reversed by a court of last resort.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481—1053.4</w:t>
      </w:r>
      <w:r>
        <w:rPr>
          <w:rFonts w:ascii="Times New Roman" w:hAnsi="Times New Roman"/>
          <w:b/>
          <w:i w:val="false"/>
          <w:color w:val="000000"/>
          <w:sz w:val="22"/>
        </w:rPr>
        <w:t xml:space="preserve">(542B) </w:t>
      </w:r>
      <w:r>
        <w:rPr>
          <w:rFonts w:ascii="Times New Roman" w:hAnsi="Times New Roman"/>
          <w:b/>
          <w:i w:val="false"/>
          <w:color w:val="000000"/>
          <w:sz w:val="22"/>
        </w:rPr>
        <w:t xml:space="preserve">Disciplinary findings and sanctions. </w:t>
      </w:r>
      <w:r>
        <w:rPr>
          <w:rFonts w:ascii="Times New Roman" w:hAnsi="Times New Roman"/>
          <w:b w:val="false"/>
          <w:i w:val="false"/>
          <w:color w:val="000000"/>
          <w:sz w:val="22"/>
        </w:rPr>
        <w:t>The board’s decision may include one or more of the following findings or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Exoneration of respondent.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Revocation of license.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Suspension of license until further order of the board or for a specified period.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Nonrenewal of license.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Prohibition, until further order of the board or for a specific period, of engaging in specified procedures, methods or acts.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Requirement of additional education or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Requirement of reexamination.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Issuance of a reprimand.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Imposition of civil penalties.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Issuance of citation and warning.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Desk review.</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481—1053.5</w:t>
      </w:r>
      <w:r>
        <w:rPr>
          <w:rFonts w:ascii="Times New Roman" w:hAnsi="Times New Roman"/>
          <w:b/>
          <w:i w:val="false"/>
          <w:color w:val="000000"/>
          <w:sz w:val="22"/>
        </w:rPr>
        <w:t xml:space="preserve">(272C)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In addition to other disciplinary options, the board may assess civil penalties of up to $1,000 per violation against licensees who violate any provision of rule </w:t>
      </w:r>
      <w:hyperlink r:id="rId29">
        <w:r>
          <w:rPr>
            <w:rStyle w:val="Hyperlink"/>
            <w:rFonts w:ascii="Times New Roman" w:hAnsi="Times New Roman"/>
            <w:b w:val="false"/>
            <w:i w:val="false"/>
            <w:color w:val="000000"/>
            <w:sz w:val="22"/>
          </w:rPr>
          <w:t>481—1053.3</w:t>
        </w:r>
      </w:hyperlink>
      <w:r>
        <w:rPr>
          <w:rFonts w:ascii="Times New Roman" w:hAnsi="Times New Roman"/>
          <w:b w:val="false"/>
          <w:i w:val="false"/>
          <w:color w:val="000000"/>
          <w:sz w:val="22"/>
        </w:rPr>
        <w:t>(10A,17A,272C,542B). Factors the board may consider when determining whether and in what amount to assess civil penalties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the licensee practiced professional engineering or professional land surveying with a lapsed, inactive, suspended or revoked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481—1053.6</w:t>
      </w:r>
      <w:r>
        <w:rPr>
          <w:rFonts w:ascii="Times New Roman" w:hAnsi="Times New Roman"/>
          <w:b/>
          <w:i w:val="false"/>
          <w:color w:val="000000"/>
          <w:sz w:val="22"/>
        </w:rPr>
        <w:t xml:space="preserve">(542B) </w:t>
      </w:r>
      <w:r>
        <w:rPr>
          <w:rFonts w:ascii="Times New Roman" w:hAnsi="Times New Roman"/>
          <w:b/>
          <w:i w:val="false"/>
          <w:color w:val="000000"/>
          <w:sz w:val="22"/>
        </w:rPr>
        <w:t xml:space="preserve">Publication of decisions. </w:t>
      </w:r>
      <w:r>
        <w:rPr>
          <w:rFonts w:ascii="Times New Roman" w:hAnsi="Times New Roman"/>
          <w:b w:val="false"/>
          <w:i w:val="false"/>
          <w:color w:val="000000"/>
          <w:sz w:val="22"/>
        </w:rPr>
        <w:t xml:space="preserve">In addition to publication requirements found at </w:t>
      </w:r>
      <w:hyperlink r:id="rId31">
        <w:r>
          <w:rPr>
            <w:rStyle w:val="Hyperlink"/>
            <w:rFonts w:ascii="Times New Roman" w:hAnsi="Times New Roman"/>
            <w:b w:val="false"/>
            <w:i w:val="false"/>
            <w:color w:val="000000"/>
            <w:sz w:val="22"/>
          </w:rPr>
          <w:t>481—subrule 506.31</w:t>
        </w:r>
      </w:hyperlink>
      <w:r>
        <w:rPr>
          <w:rFonts w:ascii="Times New Roman" w:hAnsi="Times New Roman"/>
          <w:b w:val="false"/>
          <w:i w:val="false"/>
          <w:color w:val="000000"/>
          <w:sz w:val="22"/>
        </w:rPr>
        <w:t>, the following notifications shall be issued: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Following suspension of a professional land surveyor’s license, notification must be issued to the county recorders and county auditors of the county of residence and immediately adjacent counties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Following revocation of a professional land surveyor’s license, notification must be mailed to all county auditors in Iowa and the county recorders in the county of residence and immediately adjacent counties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Following the suspension or revocation of the license of a professional engineer or professional land surveyor, notification is issued to other boards of examiners for engineers and land surveyors under the jurisdiction of the government of the United States. This notification may be made through the National Council of Examiners for Engineering and Surveying or other national organizations recognized by the board. In addition, if the licensee is known to be registered in another nation in North America, the appropriate board(s) are notified of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481—1053.7</w:t>
      </w:r>
      <w:r>
        <w:rPr>
          <w:rFonts w:ascii="Times New Roman" w:hAnsi="Times New Roman"/>
          <w:b/>
          <w:i w:val="false"/>
          <w:color w:val="000000"/>
          <w:sz w:val="22"/>
        </w:rPr>
        <w:t xml:space="preserve">(542B) </w:t>
      </w:r>
      <w:r>
        <w:rPr>
          <w:rFonts w:ascii="Times New Roman" w:hAnsi="Times New Roman"/>
          <w:b/>
          <w:i w:val="false"/>
          <w:color w:val="000000"/>
          <w:sz w:val="22"/>
        </w:rPr>
        <w:t xml:space="preserve">Disputes between licensees and clients. </w:t>
      </w:r>
      <w:r>
        <w:rPr>
          <w:rFonts w:ascii="Times New Roman" w:hAnsi="Times New Roman"/>
          <w:b w:val="false"/>
          <w:i w:val="false"/>
          <w:color w:val="000000"/>
          <w:sz w:val="22"/>
        </w:rPr>
        <w:t>Reports from the insurance commissioner or other agencies on the results of judgments or settlements of disputes arising from malpractice claims or other actions between professional engineers or professional land surveyors and their clients may be referred to counsel or peer review committee. The counsel or peer review committee will investigate the report for violation of the statutes or rules governing the practice or conduct of the licensee. The counsel or peer review committee will advise the board of any probable violations or any further action required or recommend dismissal from further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481—1053.8</w:t>
      </w:r>
      <w:r>
        <w:rPr>
          <w:rFonts w:ascii="Times New Roman" w:hAnsi="Times New Roman"/>
          <w:b/>
          <w:i w:val="false"/>
          <w:color w:val="000000"/>
          <w:sz w:val="22"/>
        </w:rPr>
        <w:t xml:space="preserve">(272C,542B)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1053.8(1)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3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shall not be released to any person except as provided in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1053.8(2)</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33">
        <w:r>
          <w:rPr>
            <w:rStyle w:val="Hyperlink"/>
            <w:rFonts w:ascii="Times New Roman" w:hAnsi="Times New Roman"/>
            <w:b w:val="false"/>
            <w:i w:val="false"/>
            <w:color w:val="000000"/>
            <w:sz w:val="22"/>
          </w:rPr>
          <w:t>10A.506(9)</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35">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those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soliciting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37">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8/9/78—published 12/27/78, effective 1/31/79]</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7/20/79, Notice 4/18/79—published 8/8/79, effective 9/12/79]</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 xml:space="preserve">[Filed 5/13/88, Notice 3/9/88—published 6/1/88, effective 7/6/88] </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6/3/94, Notice 3/30/94—published 6/22/94, effective 7/27/94]</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7/23/99, Notice 6/16/99—published 8/11/99, effective 9/15/99]</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11/29/06, Notice 8/16/06—published 12/20/06, effective 1/24/07]</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2022C</w:t>
      </w:r>
      <w:r>
        <w:rPr>
          <w:rFonts w:ascii="Times New Roman" w:hAnsi="Times New Roman"/>
          <w:b w:val="false"/>
          <w:i w:val="false"/>
          <w:color w:val="000000"/>
          <w:sz w:val="21"/>
        </w:rPr>
        <w:t xml:space="preserve"> (Notice ARC 1886C,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7672C</w:t>
      </w:r>
      <w:r>
        <w:rPr>
          <w:rFonts w:ascii="Times New Roman" w:hAnsi="Times New Roman"/>
          <w:b w:val="false"/>
          <w:i w:val="false"/>
          <w:color w:val="000000"/>
          <w:sz w:val="21"/>
        </w:rPr>
        <w:t xml:space="preserve"> (Notice ARC 7412C,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4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ac/rule/481.506.35.pdf" Type="http://schemas.openxmlformats.org/officeDocument/2006/relationships/hyperlink" Id="rId6"/>
    <Relationship TargetMode="External" Target="https://www.legis.iowa.gov/docs/ico/chapter/542B.21.pdf" Type="http://schemas.openxmlformats.org/officeDocument/2006/relationships/hyperlink" Id="rId7"/>
    <Relationship TargetMode="External" Target="https://www.legis.iowa.gov/docs/ico/chapter/542B.22.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2B.21.pdf" Type="http://schemas.openxmlformats.org/officeDocument/2006/relationships/hyperlink" Id="rId14"/>
    <Relationship TargetMode="External" Target="https://www.legis.iowa.gov/docs/ico/chapter/354.pdf" Type="http://schemas.openxmlformats.org/officeDocument/2006/relationships/hyperlink" Id="rId15"/>
    <Relationship TargetMode="External" Target="https://www.legis.iowa.gov/docs/ico/chapter/355.pdf" Type="http://schemas.openxmlformats.org/officeDocument/2006/relationships/hyperlink" Id="rId16"/>
    <Relationship TargetMode="External" Target="https://www.legis.iowa.gov/docs/iac/chapter/481.1055.pdf" Type="http://schemas.openxmlformats.org/officeDocument/2006/relationships/hyperlink" Id="rId17"/>
    <Relationship TargetMode="External" Target="https://www.legis.iowa.gov/docs/iac/chapter/481.1056.pdf" Type="http://schemas.openxmlformats.org/officeDocument/2006/relationships/hyperlink" Id="rId18"/>
    <Relationship TargetMode="External" Target="https://www.legis.iowa.gov/docs/iac/rule/481.1052.3.pdf" Type="http://schemas.openxmlformats.org/officeDocument/2006/relationships/hyperlink" Id="rId19"/>
    <Relationship TargetMode="External" Target="https://www.legis.iowa.gov/docs/iac/rule/481.1052.3.pdf" Type="http://schemas.openxmlformats.org/officeDocument/2006/relationships/hyperlink" Id="rId20"/>
    <Relationship TargetMode="External" Target="https://www.legis.iowa.gov/docs/ico/chapter/542B.16.pdf" Type="http://schemas.openxmlformats.org/officeDocument/2006/relationships/hyperlink" Id="rId21"/>
    <Relationship TargetMode="External" Target="https://www.legis.iowa.gov/docs/iac/chapter/481.1050.pdf" Type="http://schemas.openxmlformats.org/officeDocument/2006/relationships/hyperlink" Id="rId22"/>
    <Relationship TargetMode="External" Target="https://www.legis.iowa.gov/docs/iac/chapter/481.1052.pdf" Type="http://schemas.openxmlformats.org/officeDocument/2006/relationships/hyperlink" Id="rId23"/>
    <Relationship TargetMode="External" Target="https://www.legis.iowa.gov/docs/ico/chapter/542B.27.pdf" Type="http://schemas.openxmlformats.org/officeDocument/2006/relationships/hyperlink" Id="rId24"/>
    <Relationship TargetMode="External" Target="https://www.legis.iowa.gov/docs/ico/chapter/272C.3.pdf" Type="http://schemas.openxmlformats.org/officeDocument/2006/relationships/hyperlink" Id="rId25"/>
    <Relationship TargetMode="External" Target="https://www.legis.iowa.gov/docs/ico/chapter/542B.21.pdf" Type="http://schemas.openxmlformats.org/officeDocument/2006/relationships/hyperlink" Id="rId26"/>
    <Relationship TargetMode="External" Target="https://www.legis.iowa.gov/docs/ico/chapter/272C.pdf" Type="http://schemas.openxmlformats.org/officeDocument/2006/relationships/hyperlink" Id="rId27"/>
    <Relationship TargetMode="External" Target="https://www.legis.iowa.gov/docs/ico/chapter/542B.pdf" Type="http://schemas.openxmlformats.org/officeDocument/2006/relationships/hyperlink" Id="rId28"/>
    <Relationship TargetMode="External" Target="https://www.legis.iowa.gov/docs/iac/rule/481.1053.3.pdf" Type="http://schemas.openxmlformats.org/officeDocument/2006/relationships/hyperlink" Id="rId29"/>
    <Relationship TargetMode="External" Target="https://www.legis.iowa.gov/docs/ico/chapter/542B.22.pdf" Type="http://schemas.openxmlformats.org/officeDocument/2006/relationships/hyperlink" Id="rId30"/>
    <Relationship TargetMode="External" Target="https://www.legis.iowa.gov/docs/iac/rule/481.506.31.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10A.506.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272C.6.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542B.2.pdf" Type="http://schemas.openxmlformats.org/officeDocument/2006/relationships/hyperlink" Id="rId37"/>
    <Relationship TargetMode="External" Target="https://www.legis.iowa.gov/docs/ico/chapter/542B.22.pdf" Type="http://schemas.openxmlformats.org/officeDocument/2006/relationships/hyperlink" Id="rId38"/>
    <Relationship TargetMode="External" Target="https://www.legis.iowa.gov/docs/ico/chapter/272C.6.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