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1051</w:t>
      </w:r>
    </w:p>
    <w:p>
      <w:pPr>
        <w:spacing w:before="0" w:after="0"/>
        <w:ind w:left="120"/>
        <w:jc w:val="center"/>
      </w:pPr>
      <w:r>
        <w:rPr>
          <w:rFonts w:ascii="Times New Roman" w:hAnsi="Times New Roman"/>
          <w:b w:val="false"/>
          <w:i w:val="false"/>
          <w:color w:val="000000"/>
          <w:sz w:val="21"/>
        </w:rPr>
        <w:t>PROFESSIONAL DEVELOPMENT</w:t>
      </w:r>
    </w:p>
    <w:p>
      <w:pPr>
        <w:spacing w:before="0" w:after="0"/>
        <w:ind w:left="120"/>
        <w:jc w:val="center"/>
      </w:pPr>
      <w:r>
        <w:rPr>
          <w:rFonts w:ascii="Times New Roman" w:hAnsi="Times New Roman"/>
          <w:b w:val="false"/>
          <w:i w:val="false"/>
          <w:color w:val="000000"/>
          <w:sz w:val="20"/>
        </w:rPr>
        <w:t>[Prior to 11/14/01, see 193C—Chapter 3]</w:t>
      </w:r>
    </w:p>
    <w:p>
      <w:pPr>
        <w:spacing w:before="0" w:after="0"/>
        <w:ind w:left="120"/>
        <w:jc w:val="center"/>
      </w:pPr>
      <w:r>
        <w:rPr>
          <w:rFonts w:ascii="Times New Roman" w:hAnsi="Times New Roman"/>
          <w:b w:val="false"/>
          <w:i w:val="false"/>
          <w:color w:val="000000"/>
          <w:sz w:val="20"/>
        </w:rPr>
        <w:t>[Prior to 6/24/26, see Engineering and Land Surveying Examining Board[193C]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481—1051.1</w:t>
      </w:r>
      <w:r>
        <w:rPr>
          <w:rFonts w:ascii="Times New Roman" w:hAnsi="Times New Roman"/>
          <w:b/>
          <w:i w:val="false"/>
          <w:color w:val="000000"/>
          <w:sz w:val="22"/>
        </w:rPr>
        <w:t xml:space="preserve">(542B,272C)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Completion of continuing education for professional development is a condition of licensure renewal for each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481—1051.2</w:t>
      </w:r>
      <w:r>
        <w:rPr>
          <w:rFonts w:ascii="Times New Roman" w:hAnsi="Times New Roman"/>
          <w:b/>
          <w:i w:val="false"/>
          <w:color w:val="000000"/>
          <w:sz w:val="22"/>
        </w:rPr>
        <w:t xml:space="preserve">(542B,272C)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“College or unit semester or quarter hour”</w:t>
      </w:r>
      <w:r>
        <w:rPr>
          <w:rFonts w:ascii="Times New Roman" w:hAnsi="Times New Roman"/>
          <w:b w:val="false"/>
          <w:i w:val="false"/>
          <w:color w:val="000000"/>
          <w:sz w:val="22"/>
        </w:rPr>
        <w:t> </w:t>
      </w:r>
      <w:r>
        <w:rPr>
          <w:rFonts w:ascii="Times New Roman" w:hAnsi="Times New Roman"/>
          <w:b w:val="false"/>
          <w:i w:val="false"/>
          <w:color w:val="000000"/>
          <w:sz w:val="22"/>
        </w:rPr>
        <w:t>means the unit of credit given for advanced technical and graduate courses from universities with programs accredited by the Engineering Accreditation Commission of the Accreditation Board for Engineering and Technology,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or other related college course qualified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education obtained by a licensee in order to maintain, improve, or expand skills and knowledge obtained prior to initial licensure or to develop new and relevant skills and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 unit (CEU)”</w:t>
      </w:r>
      <w:r>
        <w:rPr>
          <w:rFonts w:ascii="Times New Roman" w:hAnsi="Times New Roman"/>
          <w:b w:val="false"/>
          <w:i w:val="false"/>
          <w:color w:val="000000"/>
          <w:sz w:val="22"/>
        </w:rPr>
        <w:t> </w:t>
      </w:r>
      <w:r>
        <w:rPr>
          <w:rFonts w:ascii="Times New Roman" w:hAnsi="Times New Roman"/>
          <w:b w:val="false"/>
          <w:i w:val="false"/>
          <w:color w:val="000000"/>
          <w:sz w:val="22"/>
        </w:rPr>
        <w:t>means the unit of credit customarily granted for continuing education courses. One continuing education unit is given for ten hours of class in an approved continuing education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“Course or activity”</w:t>
      </w:r>
      <w:r>
        <w:rPr>
          <w:rFonts w:ascii="Times New Roman" w:hAnsi="Times New Roman"/>
          <w:b w:val="false"/>
          <w:i w:val="false"/>
          <w:color w:val="000000"/>
          <w:sz w:val="22"/>
        </w:rPr>
        <w:t> </w:t>
      </w:r>
      <w:r>
        <w:rPr>
          <w:rFonts w:ascii="Times New Roman" w:hAnsi="Times New Roman"/>
          <w:b w:val="false"/>
          <w:i w:val="false"/>
          <w:color w:val="000000"/>
          <w:sz w:val="22"/>
        </w:rPr>
        <w:t>means any qualifying course or activity with a clear purpose and objective that will maintain, improve, or expand the skills and knowledge relevant to the licensee’s field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study”</w:t>
      </w:r>
      <w:r>
        <w:rPr>
          <w:rFonts w:ascii="Times New Roman" w:hAnsi="Times New Roman"/>
          <w:b w:val="false"/>
          <w:i w:val="false"/>
          <w:color w:val="000000"/>
          <w:sz w:val="22"/>
        </w:rPr>
        <w:t> </w:t>
      </w:r>
      <w:r>
        <w:rPr>
          <w:rFonts w:ascii="Times New Roman" w:hAnsi="Times New Roman"/>
          <w:b w:val="false"/>
          <w:i w:val="false"/>
          <w:color w:val="000000"/>
          <w:sz w:val="22"/>
        </w:rPr>
        <w:t>means any course or activity in which there is no real-time interaction between the training provider and the licensee, such as courses offered on the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development hour”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“PDH”</w:t>
      </w:r>
      <w:r>
        <w:rPr>
          <w:rFonts w:ascii="Times New Roman" w:hAnsi="Times New Roman"/>
          <w:b w:val="false"/>
          <w:i w:val="false"/>
          <w:color w:val="000000"/>
          <w:sz w:val="22"/>
        </w:rPr>
        <w:t> </w:t>
      </w:r>
      <w:r>
        <w:rPr>
          <w:rFonts w:ascii="Times New Roman" w:hAnsi="Times New Roman"/>
          <w:b w:val="false"/>
          <w:i w:val="false"/>
          <w:color w:val="000000"/>
          <w:sz w:val="22"/>
        </w:rPr>
        <w:t>means a contact hour of instruction or presentation and is the common denominator for other units of credit.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481—1051.3</w:t>
      </w:r>
      <w:r>
        <w:rPr>
          <w:rFonts w:ascii="Times New Roman" w:hAnsi="Times New Roman"/>
          <w:b/>
          <w:i w:val="false"/>
          <w:color w:val="000000"/>
          <w:sz w:val="22"/>
        </w:rPr>
        <w:t xml:space="preserve">(542B,272C) </w:t>
      </w:r>
      <w:r>
        <w:rPr>
          <w:rFonts w:ascii="Times New Roman" w:hAnsi="Times New Roman"/>
          <w:b/>
          <w:i w:val="false"/>
          <w:color w:val="000000"/>
          <w:sz w:val="22"/>
        </w:rPr>
        <w:t xml:space="preserve">Professional development hours.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1051.3(1)</w:t>
      </w:r>
      <w:r>
        <w:rPr>
          <w:rFonts w:ascii="Times New Roman" w:hAnsi="Times New Roman"/>
          <w:b w:val="false"/>
          <w:i w:val="false"/>
          <w:color w:val="000000"/>
          <w:sz w:val="22"/>
        </w:rPr>
        <w:t> </w:t>
      </w:r>
      <w:r>
        <w:rPr>
          <w:rFonts w:ascii="Times New Roman" w:hAnsi="Times New Roman"/>
          <w:b w:val="false"/>
          <w:i/>
          <w:color w:val="000000"/>
          <w:sz w:val="22"/>
        </w:rPr>
        <w:t xml:space="preserve">Allowable activities. </w:t>
      </w:r>
      <w:r>
        <w:rPr>
          <w:rFonts w:ascii="Times New Roman" w:hAnsi="Times New Roman"/>
          <w:b w:val="false"/>
          <w:i w:val="false"/>
          <w:color w:val="000000"/>
          <w:sz w:val="22"/>
        </w:rPr>
        <w:t>Licensees may earn professional development hours by participating in a variety of activities. The following is a list of allowable activities and is not all-inclusive: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college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continuing education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correspondence, televised, videotaped, and other short courses or tutorials;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courses online via the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Active participation in seminars, in-house courses, workshops, technical committees of professional engineering organizations, and professional conventions;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Teaching or instructing in the activities set forth above if such teaching or instruction is outside of the licensee’s regular employment duties and if the licensee can document that such teaching activity or instruction was newly developed and presented for the first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Authoring published papers, articles or books;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Obtaining patents;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Attendance at online video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Participation on an NCEES examination development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Attendance at engineering college graduate research seminars.</w:t>
      </w:r>
    </w:p>
    <w:p>
      <w:pPr>
        <w:spacing w:before="0" w:after="0"/>
        <w:ind w:left="120"/>
        <w:jc w:val="both"/>
      </w:pPr>
      <w:r>
        <w:rPr>
          <w:rFonts w:ascii="Times New Roman" w:hAnsi="Times New Roman"/>
          <w:b w:val="false"/>
          <w:i w:val="false"/>
          <w:color w:val="000000"/>
          <w:sz w:val="22"/>
        </w:rPr>
        <w:t>All of the allowable activities listed above must adhere to this chapter to be accepted by the board.</w:t>
      </w:r>
    </w:p>
    <w:p>
      <w:pPr>
        <w:spacing w:before="0" w:after="0"/>
        <w:ind w:left="120"/>
        <w:jc w:val="both"/>
      </w:pPr>
      <w:r>
        <w:rPr>
          <w:rFonts w:ascii="Times New Roman" w:hAnsi="Times New Roman"/>
          <w:b/>
          <w:i w:val="false"/>
          <w:color w:val="000000"/>
          <w:sz w:val="22"/>
        </w:rPr>
        <w:t>1051.3(2)</w:t>
      </w:r>
      <w:r>
        <w:rPr>
          <w:rFonts w:ascii="Times New Roman" w:hAnsi="Times New Roman"/>
          <w:b w:val="false"/>
          <w:i w:val="false"/>
          <w:color w:val="000000"/>
          <w:sz w:val="22"/>
        </w:rPr>
        <w:t> </w:t>
      </w:r>
      <w:r>
        <w:rPr>
          <w:rFonts w:ascii="Times New Roman" w:hAnsi="Times New Roman"/>
          <w:b w:val="false"/>
          <w:i/>
          <w:color w:val="000000"/>
          <w:sz w:val="22"/>
        </w:rPr>
        <w:t xml:space="preserve">PDH conversion. </w:t>
      </w:r>
      <w:r>
        <w:rPr>
          <w:rFonts w:ascii="Times New Roman" w:hAnsi="Times New Roman"/>
          <w:b w:val="false"/>
          <w:i w:val="false"/>
          <w:color w:val="000000"/>
          <w:sz w:val="22"/>
        </w:rPr>
        <w:t>The following chart illustrates the conversion from other units to PDH:</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851"/>
        <w:gridCol w:w="1899"/>
      </w:tblGrid>
      <w:tr>
        <w:trPr>
          <w:trHeight w:val="195"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ACTIVITY</w:t>
            </w:r>
          </w:p>
        </w:tc>
        <w:tc>
          <w:tcPr>
            <w:tcW w:w="1899"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PDH</w:t>
            </w:r>
          </w:p>
        </w:tc>
      </w:tr>
      <w:tr>
        <w:trPr>
          <w:trHeight w:val="51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 College or unit semester hour.</w:t>
            </w:r>
          </w:p>
          <w:p>
            <w:pPr>
              <w:spacing w:before="0" w:after="0" w:line="264"/>
              <w:ind w:left="160"/>
              <w:jc w:val="left"/>
            </w:pPr>
            <w:r>
              <w:rPr>
                <w:rFonts w:ascii="Times New Roman" w:hAnsi="Times New Roman"/>
                <w:b w:val="false"/>
                <w:i w:val="false"/>
                <w:color w:val="000000"/>
                <w:sz w:val="14"/>
              </w:rPr>
              <w:t>Credit for qualifying college or community college courses will be based upon course credit established by the college.</w:t>
            </w:r>
          </w:p>
        </w:tc>
        <w:tc>
          <w:tcPr>
            <w:tcW w:w="1899"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45 PDH</w:t>
            </w:r>
          </w:p>
          <w:p>
            <w:pPr>
              <w:spacing w:before="0" w:after="0" w:line="264"/>
              <w:ind w:left="160"/>
              <w:jc w:val="center"/>
            </w:pPr>
            <w:r>
              <w:rPr>
                <w:rFonts w:ascii="Times New Roman" w:hAnsi="Times New Roman"/>
                <w:b w:val="false"/>
                <w:i w:val="false"/>
                <w:color w:val="000000"/>
                <w:sz w:val="14"/>
              </w:rPr>
              <w:t>per semester hour</w:t>
            </w:r>
          </w:p>
        </w:tc>
      </w:tr>
      <w:tr>
        <w:trPr>
          <w:trHeight w:val="51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 College or unit quarter hour.</w:t>
            </w:r>
          </w:p>
          <w:p>
            <w:pPr>
              <w:spacing w:before="0" w:after="0" w:line="264"/>
              <w:ind w:left="160"/>
              <w:jc w:val="left"/>
            </w:pPr>
            <w:r>
              <w:rPr>
                <w:rFonts w:ascii="Times New Roman" w:hAnsi="Times New Roman"/>
                <w:b w:val="false"/>
                <w:i w:val="false"/>
                <w:color w:val="000000"/>
                <w:sz w:val="14"/>
              </w:rPr>
              <w:t>Credit for qualifying college or community college courses will be based upon course credit established by the college.</w:t>
            </w:r>
          </w:p>
        </w:tc>
        <w:tc>
          <w:tcPr>
            <w:tcW w:w="1899"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30 PDH</w:t>
            </w:r>
          </w:p>
          <w:p>
            <w:pPr>
              <w:spacing w:before="0" w:after="0" w:line="264"/>
              <w:ind w:left="160"/>
              <w:jc w:val="center"/>
            </w:pPr>
            <w:r>
              <w:rPr>
                <w:rFonts w:ascii="Times New Roman" w:hAnsi="Times New Roman"/>
                <w:b w:val="false"/>
                <w:i w:val="false"/>
                <w:color w:val="000000"/>
                <w:sz w:val="14"/>
              </w:rPr>
              <w:t>per quarter hour</w:t>
            </w:r>
          </w:p>
        </w:tc>
      </w:tr>
      <w:tr>
        <w:trPr>
          <w:trHeight w:val="195"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1 Continuing education unit as defined in rule </w:t>
            </w:r>
            <w:hyperlink r:id="rId5">
              <w:r>
                <w:rPr>
                  <w:rStyle w:val="Hyperlink"/>
                  <w:rFonts w:ascii="Times New Roman" w:hAnsi="Times New Roman"/>
                  <w:b w:val="false"/>
                  <w:i w:val="false"/>
                  <w:color w:val="000000"/>
                  <w:sz w:val="14"/>
                </w:rPr>
                <w:t>481—1051.2</w:t>
              </w:r>
            </w:hyperlink>
            <w:r>
              <w:rPr>
                <w:rFonts w:ascii="Times New Roman" w:hAnsi="Times New Roman"/>
                <w:b w:val="false"/>
                <w:i w:val="false"/>
                <w:color w:val="000000"/>
                <w:sz w:val="14"/>
              </w:rPr>
              <w:t>(542B,272C).</w:t>
            </w:r>
          </w:p>
        </w:tc>
        <w:tc>
          <w:tcPr>
            <w:tcW w:w="1899"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PDH</w:t>
            </w:r>
          </w:p>
        </w:tc>
      </w:tr>
      <w:tr>
        <w:trPr>
          <w:trHeight w:val="825"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Contact hour attendance in a class, course, seminar, or professional or technical presentation made at a meeting, in-house training session, convention or conference. Credit for qualifying seminars and workshops will be based on 1 PDH unit for each hour of attendance. Attendance at qualifying programs presented at professional or technical society meetings will earn PDH units for the actual time of each program, excluding time for breaks and meals.</w:t>
            </w:r>
          </w:p>
        </w:tc>
        <w:tc>
          <w:tcPr>
            <w:tcW w:w="1899"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1 PDH</w:t>
            </w:r>
          </w:p>
          <w:p>
            <w:pPr>
              <w:spacing w:before="0" w:after="0" w:line="264"/>
              <w:ind w:left="160"/>
              <w:jc w:val="center"/>
            </w:pPr>
            <w:r>
              <w:rPr>
                <w:rFonts w:ascii="Times New Roman" w:hAnsi="Times New Roman"/>
                <w:b w:val="false"/>
                <w:i w:val="false"/>
                <w:color w:val="000000"/>
                <w:sz w:val="14"/>
              </w:rPr>
              <w:t>per hour</w:t>
            </w:r>
          </w:p>
        </w:tc>
      </w:tr>
      <w:tr>
        <w:trPr>
          <w:trHeight w:val="66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 Contact hour teaching a class, course, seminar, or a professional or technical presentation.</w:t>
            </w:r>
          </w:p>
          <w:p>
            <w:pPr>
              <w:spacing w:before="0" w:after="0" w:line="264"/>
              <w:ind w:left="160"/>
              <w:jc w:val="left"/>
            </w:pPr>
            <w:r>
              <w:rPr>
                <w:rFonts w:ascii="Times New Roman" w:hAnsi="Times New Roman"/>
                <w:b w:val="false"/>
                <w:i w:val="false"/>
                <w:color w:val="000000"/>
                <w:sz w:val="14"/>
              </w:rPr>
              <w:t>a. Teaching credit is valid for teaching a course or seminar for the first time only.</w:t>
            </w:r>
          </w:p>
          <w:p>
            <w:pPr>
              <w:spacing w:before="0" w:after="0" w:line="264"/>
              <w:ind w:left="160"/>
              <w:jc w:val="left"/>
            </w:pPr>
            <w:r>
              <w:rPr>
                <w:rFonts w:ascii="Times New Roman" w:hAnsi="Times New Roman"/>
                <w:b w:val="false"/>
                <w:i w:val="false"/>
                <w:color w:val="000000"/>
                <w:sz w:val="14"/>
              </w:rPr>
              <w:t>b. Teaching credit does not apply to full-time faculty.</w:t>
            </w:r>
          </w:p>
          <w:p>
            <w:pPr>
              <w:spacing w:before="0" w:after="0" w:line="264"/>
              <w:ind w:left="160"/>
              <w:jc w:val="left"/>
            </w:pPr>
            <w:r>
              <w:rPr>
                <w:rFonts w:ascii="Times New Roman" w:hAnsi="Times New Roman"/>
                <w:b w:val="false"/>
                <w:i w:val="false"/>
                <w:color w:val="000000"/>
                <w:sz w:val="14"/>
              </w:rPr>
              <w:t>c. Teaching credit is limited to 10 PDH per biennial renewal period.</w:t>
            </w:r>
          </w:p>
        </w:tc>
        <w:tc>
          <w:tcPr>
            <w:tcW w:w="1899"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2 PDH</w:t>
            </w:r>
          </w:p>
          <w:p>
            <w:pPr>
              <w:spacing w:before="0" w:after="0" w:line="264"/>
              <w:ind w:left="160"/>
              <w:jc w:val="center"/>
            </w:pPr>
            <w:r>
              <w:rPr>
                <w:rFonts w:ascii="Times New Roman" w:hAnsi="Times New Roman"/>
                <w:b w:val="false"/>
                <w:i w:val="false"/>
                <w:color w:val="000000"/>
                <w:sz w:val="14"/>
              </w:rPr>
              <w:t>per hour</w:t>
            </w:r>
          </w:p>
        </w:tc>
      </w:tr>
      <w:tr>
        <w:trPr>
          <w:trHeight w:val="36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Each published paper, article, or book.</w:t>
            </w:r>
          </w:p>
          <w:p>
            <w:pPr>
              <w:spacing w:before="0" w:after="0" w:line="264"/>
              <w:ind w:left="160"/>
              <w:jc w:val="left"/>
            </w:pPr>
            <w:r>
              <w:rPr>
                <w:rFonts w:ascii="Times New Roman" w:hAnsi="Times New Roman"/>
                <w:b w:val="false"/>
                <w:i w:val="false"/>
                <w:color w:val="000000"/>
                <w:sz w:val="14"/>
              </w:rPr>
              <w:t>Credit for published material is earned in the biennium of publication.</w:t>
            </w:r>
          </w:p>
        </w:tc>
        <w:tc>
          <w:tcPr>
            <w:tcW w:w="1899"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10 PDH</w:t>
            </w:r>
          </w:p>
          <w:p>
            <w:pPr>
              <w:spacing w:before="0" w:after="0" w:line="264"/>
              <w:ind w:left="160"/>
              <w:jc w:val="center"/>
            </w:pPr>
            <w:r>
              <w:rPr>
                <w:rFonts w:ascii="Times New Roman" w:hAnsi="Times New Roman"/>
                <w:b w:val="false"/>
                <w:i w:val="false"/>
                <w:color w:val="000000"/>
                <w:sz w:val="14"/>
              </w:rPr>
              <w:t>per publication</w:t>
            </w:r>
          </w:p>
        </w:tc>
      </w:tr>
      <w:tr>
        <w:trPr>
          <w:trHeight w:val="66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Active participation in a professional or technical society.</w:t>
            </w:r>
          </w:p>
          <w:p>
            <w:pPr>
              <w:spacing w:before="0" w:after="0" w:line="264"/>
              <w:ind w:left="160"/>
              <w:jc w:val="left"/>
            </w:pPr>
            <w:r>
              <w:rPr>
                <w:rFonts w:ascii="Times New Roman" w:hAnsi="Times New Roman"/>
                <w:b w:val="false"/>
                <w:i w:val="false"/>
                <w:color w:val="000000"/>
                <w:sz w:val="14"/>
              </w:rPr>
              <w:t>Credit for active participation in professional and technical societies is limited to 2 PDH per renewal period per organization and requires that a licensee serve as an officer or actively participate in a committee of the organization. PDH credits are earned for a minimum of one year’s service.</w:t>
            </w:r>
          </w:p>
        </w:tc>
        <w:tc>
          <w:tcPr>
            <w:tcW w:w="1899"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2 PDH</w:t>
            </w:r>
          </w:p>
          <w:p>
            <w:pPr>
              <w:spacing w:before="0" w:after="0" w:line="264"/>
              <w:ind w:left="160"/>
              <w:jc w:val="center"/>
            </w:pPr>
            <w:r>
              <w:rPr>
                <w:rFonts w:ascii="Times New Roman" w:hAnsi="Times New Roman"/>
                <w:b w:val="false"/>
                <w:i w:val="false"/>
                <w:color w:val="000000"/>
                <w:sz w:val="14"/>
              </w:rPr>
              <w:t>per organization per renewal period</w:t>
            </w:r>
          </w:p>
        </w:tc>
      </w:tr>
      <w:tr>
        <w:trPr>
          <w:trHeight w:val="36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Each patent.</w:t>
            </w:r>
          </w:p>
          <w:p>
            <w:pPr>
              <w:spacing w:before="0" w:after="0" w:line="264"/>
              <w:ind w:left="160"/>
              <w:jc w:val="left"/>
            </w:pPr>
            <w:r>
              <w:rPr>
                <w:rFonts w:ascii="Times New Roman" w:hAnsi="Times New Roman"/>
                <w:b w:val="false"/>
                <w:i w:val="false"/>
                <w:color w:val="000000"/>
                <w:sz w:val="14"/>
              </w:rPr>
              <w:t>Credit for patents is earned in the biennium the patent is issued.</w:t>
            </w:r>
          </w:p>
        </w:tc>
        <w:tc>
          <w:tcPr>
            <w:tcW w:w="1899" w:type="dxa"/>
            <w:tcBorders>
              <w:bottom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10 PDH</w:t>
            </w:r>
          </w:p>
          <w:p>
            <w:pPr>
              <w:spacing w:before="0" w:after="0" w:line="264"/>
              <w:ind w:left="160"/>
              <w:jc w:val="center"/>
            </w:pPr>
            <w:r>
              <w:rPr>
                <w:rFonts w:ascii="Times New Roman" w:hAnsi="Times New Roman"/>
                <w:b w:val="false"/>
                <w:i w:val="false"/>
                <w:color w:val="000000"/>
                <w:sz w:val="14"/>
              </w:rPr>
              <w:t>per patent</w:t>
            </w:r>
          </w:p>
        </w:tc>
      </w:tr>
      <w:tr>
        <w:trPr>
          <w:trHeight w:val="825" w:hRule="atLeast"/>
        </w:trPr>
        <w:tc>
          <w:tcPr>
            <w:tcW w:w="7851"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Participation on an NCEES examination development committee or Iowa State Specific Land Surveying examination development committee, including the writing and grading of examination questions, writing reference materials for examinations, and evaluating past examination question performance. Licensees may claim a maximum of 30 PDH per biennial renewal period for participation in this activity.</w:t>
            </w:r>
          </w:p>
        </w:tc>
        <w:tc>
          <w:tcPr>
            <w:tcW w:w="1899" w:type="dxa"/>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2 PDH</w:t>
            </w:r>
          </w:p>
          <w:p>
            <w:pPr>
              <w:spacing w:before="0" w:after="0" w:line="264"/>
              <w:ind w:left="160"/>
              <w:jc w:val="center"/>
            </w:pPr>
            <w:r>
              <w:rPr>
                <w:rFonts w:ascii="Times New Roman" w:hAnsi="Times New Roman"/>
                <w:b w:val="false"/>
                <w:i w:val="false"/>
                <w:color w:val="000000"/>
                <w:sz w:val="14"/>
              </w:rPr>
              <w:t>per hour of committee participation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1051.3(3)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credit. </w:t>
      </w:r>
      <w:r>
        <w:rPr>
          <w:rFonts w:ascii="Times New Roman" w:hAnsi="Times New Roman"/>
          <w:b w:val="false"/>
          <w:i w:val="false"/>
          <w:color w:val="000000"/>
          <w:sz w:val="22"/>
        </w:rPr>
        <w:t>The board has final authority with respect to approval of courses, credit, PDH value for courses, and other methods of earning credit. No preapproval of offerings will be issued. The board may deny any renewal or reinstatement upon a determination of insufficient or unsatisfactory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481—1051.4</w:t>
      </w:r>
      <w:r>
        <w:rPr>
          <w:rFonts w:ascii="Times New Roman" w:hAnsi="Times New Roman"/>
          <w:b/>
          <w:i w:val="false"/>
          <w:color w:val="000000"/>
          <w:sz w:val="22"/>
        </w:rPr>
        <w:t xml:space="preserve">(542B,272C) </w:t>
      </w:r>
      <w:r>
        <w:rPr>
          <w:rFonts w:ascii="Times New Roman" w:hAnsi="Times New Roman"/>
          <w:b/>
          <w:i w:val="false"/>
          <w:color w:val="000000"/>
          <w:sz w:val="22"/>
        </w:rPr>
        <w:t xml:space="preserve">Professional development guidelines. </w:t>
      </w:r>
      <w:r>
        <w:rPr>
          <w:rFonts w:ascii="Times New Roman" w:hAnsi="Times New Roman"/>
          <w:b w:val="false"/>
          <w:i w:val="false"/>
          <w:color w:val="000000"/>
          <w:sz w:val="22"/>
        </w:rPr>
        <w:t>Continuing education activities that satisfy the professional development criteria are those that relate to engineering or land surveying practice or management. It is recognized that an engineer’s specialized skills must have as their foundation a fundamental knowledge of chemistry, physics, mathematics, graphics, computations, communication, and humanities and social sciences. However, continuing education in the fundamentals alone will not be sufficient to maintain, improve, or expand engineering skills and knowledge. For that reason, licensees will be limited in their use of fundamental courses in proportion to ABET criteria for accreditation of engineering curricula. Continuing education activities are classified as:</w:t>
      </w:r>
    </w:p>
    <w:p>
      <w:pPr>
        <w:spacing w:before="0" w:after="0"/>
        <w:ind w:left="120"/>
        <w:jc w:val="both"/>
      </w:pPr>
      <w:r>
        <w:rPr>
          <w:rFonts w:ascii="Times New Roman" w:hAnsi="Times New Roman"/>
          <w:b/>
          <w:i w:val="false"/>
          <w:color w:val="000000"/>
          <w:sz w:val="22"/>
        </w:rPr>
        <w:t>1051.4(1)</w:t>
      </w:r>
      <w:r>
        <w:rPr>
          <w:rFonts w:ascii="Times New Roman" w:hAnsi="Times New Roman"/>
          <w:b w:val="false"/>
          <w:i w:val="false"/>
          <w:color w:val="000000"/>
          <w:sz w:val="22"/>
        </w:rPr>
        <w:t> </w:t>
      </w:r>
      <w:r>
        <w:rPr>
          <w:rFonts w:ascii="Times New Roman" w:hAnsi="Times New Roman"/>
          <w:b w:val="false"/>
          <w:i/>
          <w:color w:val="000000"/>
          <w:sz w:val="22"/>
        </w:rPr>
        <w:t xml:space="preserve">Group 1 activities. </w:t>
      </w:r>
      <w:r>
        <w:rPr>
          <w:rFonts w:ascii="Times New Roman" w:hAnsi="Times New Roman"/>
          <w:b w:val="false"/>
          <w:i w:val="false"/>
          <w:color w:val="000000"/>
          <w:sz w:val="22"/>
        </w:rPr>
        <w:t>Group 1 activities are intended to maintain, improve, or expand skills and knowledge obtained prior to initial licensure. The following chart illustrates the maximum PDH allowable per renewal period for Group 1 activities: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851"/>
        <w:gridCol w:w="1899"/>
      </w:tblGrid>
      <w:tr>
        <w:trPr>
          <w:trHeight w:val="51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Type of course/activity</w:t>
            </w:r>
          </w:p>
        </w:tc>
        <w:tc>
          <w:tcPr>
            <w:tcW w:w="1899"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Number of PDH allowed per renewal period</w:t>
            </w:r>
          </w:p>
        </w:tc>
      </w:tr>
      <w:tr>
        <w:trPr>
          <w:trHeight w:val="51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Mathematics and basic sciences</w:t>
            </w:r>
          </w:p>
          <w:p>
            <w:pPr>
              <w:spacing w:before="0" w:after="0" w:line="264"/>
              <w:ind w:left="160"/>
              <w:jc w:val="left"/>
            </w:pPr>
            <w:r>
              <w:rPr>
                <w:rFonts w:ascii="Times New Roman" w:hAnsi="Times New Roman"/>
                <w:b w:val="false"/>
                <w:i w:val="false"/>
                <w:color w:val="000000"/>
                <w:sz w:val="14"/>
              </w:rPr>
              <w:t>Math beyond Trigonometry</w:t>
            </w:r>
          </w:p>
          <w:p>
            <w:pPr>
              <w:spacing w:before="0" w:after="0" w:line="264"/>
              <w:ind w:left="160"/>
              <w:jc w:val="left"/>
            </w:pPr>
            <w:r>
              <w:rPr>
                <w:rFonts w:ascii="Times New Roman" w:hAnsi="Times New Roman"/>
                <w:b w:val="false"/>
                <w:i w:val="false"/>
                <w:color w:val="000000"/>
                <w:sz w:val="14"/>
              </w:rPr>
              <w:t>Basic sciences: Chemistry, Physics, Life sciences, Earth sciences</w:t>
            </w:r>
          </w:p>
        </w:tc>
        <w:tc>
          <w:tcPr>
            <w:tcW w:w="1899"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PDH</w:t>
            </w:r>
          </w:p>
        </w:tc>
      </w:tr>
      <w:tr>
        <w:trPr>
          <w:trHeight w:val="66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Engineering sciences</w:t>
            </w:r>
          </w:p>
          <w:p>
            <w:pPr>
              <w:spacing w:before="0" w:after="0" w:line="264"/>
              <w:ind w:left="160"/>
              <w:jc w:val="left"/>
            </w:pPr>
            <w:r>
              <w:rPr>
                <w:rFonts w:ascii="Times New Roman" w:hAnsi="Times New Roman"/>
                <w:b w:val="false"/>
                <w:i w:val="false"/>
                <w:color w:val="000000"/>
                <w:sz w:val="14"/>
              </w:rPr>
              <w:t>Mechanics, Thermodynamics, Electrical and electrical circuits, Materials science, *Computer science</w:t>
            </w:r>
          </w:p>
          <w:p>
            <w:pPr>
              <w:spacing w:before="0" w:after="0" w:line="264"/>
              <w:ind w:left="160"/>
              <w:jc w:val="left"/>
            </w:pPr>
            <w:r>
              <w:rPr>
                <w:rFonts w:ascii="Times New Roman" w:hAnsi="Times New Roman"/>
                <w:b w:val="false"/>
                <w:i w:val="false"/>
                <w:color w:val="000000"/>
                <w:sz w:val="14"/>
              </w:rPr>
              <w:t>*Courses in computer science will generally be considered a part of the Engineering Sciences category in the ABET criterion and, therefore, limited to a maximum of 10 PDH per renewal period.</w:t>
            </w:r>
          </w:p>
        </w:tc>
        <w:tc>
          <w:tcPr>
            <w:tcW w:w="1899"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PDH</w:t>
            </w:r>
          </w:p>
        </w:tc>
      </w:tr>
      <w:tr>
        <w:trPr>
          <w:trHeight w:val="51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Humanities and social sciences</w:t>
            </w:r>
          </w:p>
          <w:p>
            <w:pPr>
              <w:spacing w:before="0" w:after="0" w:line="264"/>
              <w:ind w:left="160"/>
              <w:jc w:val="left"/>
            </w:pPr>
            <w:r>
              <w:rPr>
                <w:rFonts w:ascii="Times New Roman" w:hAnsi="Times New Roman"/>
                <w:b w:val="false"/>
                <w:i w:val="false"/>
                <w:color w:val="000000"/>
                <w:sz w:val="14"/>
              </w:rPr>
              <w:t>Philosophy, Religion, History, Literature, Fine arts, Sociology, Psychology, Political science, Anthropology, Economics, Foreign languages, Professional ethics, Social responsibility</w:t>
            </w:r>
          </w:p>
        </w:tc>
        <w:tc>
          <w:tcPr>
            <w:tcW w:w="1899"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 PDH</w:t>
            </w:r>
          </w:p>
        </w:tc>
      </w:tr>
      <w:tr>
        <w:trPr>
          <w:trHeight w:val="1125" w:hRule="atLeast"/>
        </w:trPr>
        <w:tc>
          <w:tcPr>
            <w:tcW w:w="785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Engineering-related courses</w:t>
            </w:r>
          </w:p>
          <w:p>
            <w:pPr>
              <w:spacing w:before="0" w:after="0" w:line="264"/>
              <w:ind w:left="160"/>
              <w:jc w:val="left"/>
            </w:pPr>
            <w:r>
              <w:rPr>
                <w:rFonts w:ascii="Times New Roman" w:hAnsi="Times New Roman"/>
                <w:b w:val="false"/>
                <w:i w:val="false"/>
                <w:color w:val="000000"/>
                <w:sz w:val="14"/>
              </w:rPr>
              <w:t>Accounting, Industrial management, Finance, Personnel administration, Engineering economy, English, Speech, *Computer applications</w:t>
            </w:r>
          </w:p>
          <w:p>
            <w:pPr>
              <w:spacing w:before="0" w:after="0" w:line="264"/>
              <w:ind w:left="160"/>
              <w:jc w:val="left"/>
            </w:pPr>
            <w:r>
              <w:rPr>
                <w:rFonts w:ascii="Times New Roman" w:hAnsi="Times New Roman"/>
                <w:b w:val="false"/>
                <w:i w:val="false"/>
                <w:color w:val="000000"/>
                <w:sz w:val="14"/>
              </w:rPr>
              <w:t xml:space="preserve"> *The computer is considered a tool available to engineers and land surveyors. Courses related to computer drafting and general computer applications are generally not applicable to either Group 1 or Group 2 activities. Computer courses that relate to engineering or land surveying design applications, such as structural design/analysis software, are considered acceptable. </w:t>
            </w:r>
          </w:p>
        </w:tc>
        <w:tc>
          <w:tcPr>
            <w:tcW w:w="1899"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PDH</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1051.4(2)</w:t>
      </w:r>
      <w:r>
        <w:rPr>
          <w:rFonts w:ascii="Times New Roman" w:hAnsi="Times New Roman"/>
          <w:b w:val="false"/>
          <w:i w:val="false"/>
          <w:color w:val="000000"/>
          <w:sz w:val="22"/>
        </w:rPr>
        <w:t> </w:t>
      </w:r>
      <w:r>
        <w:rPr>
          <w:rFonts w:ascii="Times New Roman" w:hAnsi="Times New Roman"/>
          <w:b w:val="false"/>
          <w:i/>
          <w:color w:val="000000"/>
          <w:sz w:val="22"/>
        </w:rPr>
        <w:t xml:space="preserve">Group 2 activities. </w:t>
      </w:r>
      <w:r>
        <w:rPr>
          <w:rFonts w:ascii="Times New Roman" w:hAnsi="Times New Roman"/>
          <w:b w:val="false"/>
          <w:i w:val="false"/>
          <w:color w:val="000000"/>
          <w:sz w:val="22"/>
        </w:rPr>
        <w:t>Group 2 activities are intended to develop new and relevant skills and knowledge. Credit for participation in activities in the group is unlimited, subject to maximum carryover. Typical areas include postgraduate level engineering science or design, new technology, environmental regulation and courses in management of engineering or land surveying activity (regular work duties do not qualify).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1051.4(3)</w:t>
      </w: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 xml:space="preserve">To be readily acceptable by the board, independent study as defined in rule </w:t>
      </w:r>
      <w:hyperlink r:id="rId6">
        <w:r>
          <w:rPr>
            <w:rStyle w:val="Hyperlink"/>
            <w:rFonts w:ascii="Times New Roman" w:hAnsi="Times New Roman"/>
            <w:b w:val="false"/>
            <w:i w:val="false"/>
            <w:color w:val="000000"/>
            <w:sz w:val="22"/>
          </w:rPr>
          <w:t>481—1051.2</w:t>
        </w:r>
      </w:hyperlink>
      <w:r>
        <w:rPr>
          <w:rFonts w:ascii="Times New Roman" w:hAnsi="Times New Roman"/>
          <w:b w:val="false"/>
          <w:i w:val="false"/>
          <w:color w:val="000000"/>
          <w:sz w:val="22"/>
        </w:rPr>
        <w:t>(542B,272C)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evaluation process is completed by the independent study provider;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satisfactory completion is issued by the provider;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evaluation assessment is issued to the licensee by the provider;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supporting such independent studies is maintained by the licensee and provided to the board as required by subrule </w:t>
      </w:r>
      <w:hyperlink r:id="rId7">
        <w:r>
          <w:rPr>
            <w:rStyle w:val="Hyperlink"/>
            <w:rFonts w:ascii="Times New Roman" w:hAnsi="Times New Roman"/>
            <w:b w:val="false"/>
            <w:i w:val="false"/>
            <w:color w:val="000000"/>
            <w:sz w:val="22"/>
          </w:rPr>
          <w:t>1051.8(2)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 maximum of ten professional development hours of independent study activity will be allowed per biennium per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1051.4(4)</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Types of continuing education activities that will be excluded from allowable continuing education are those in which it is not evident that the activity relates directly to the licensee’s practice of professional engineering or land surveying or the management of the business concerns of the licensee’s practice, or that do not comply with the board’s administrative rules. Examples of activities that do not qualify as continuing education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Regular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Toastmasters club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club meetings or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Personal estate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Banquet speeches unrelated to engineering;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Professional society business meeting portions of technical seminars;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Financial planning/investment seminars;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Foreign travel not related to engineering study abroad;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Personal self-improvement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Real estate licensing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Stress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Trade shows;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Peer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Accreditation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Independent study or self-study that does not meet the requirements of subrule </w:t>
      </w:r>
      <w:hyperlink r:id="rId8">
        <w:r>
          <w:rPr>
            <w:rStyle w:val="Hyperlink"/>
            <w:rFonts w:ascii="Times New Roman" w:hAnsi="Times New Roman"/>
            <w:b w:val="false"/>
            <w:i w:val="false"/>
            <w:color w:val="000000"/>
            <w:sz w:val="22"/>
          </w:rPr>
          <w:t>1051.4(3)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Basic CAD and fundamental computer application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Undergraduate engineering seminars.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481—1051.5</w:t>
      </w:r>
      <w:r>
        <w:rPr>
          <w:rFonts w:ascii="Times New Roman" w:hAnsi="Times New Roman"/>
          <w:b/>
          <w:i w:val="false"/>
          <w:color w:val="000000"/>
          <w:sz w:val="22"/>
        </w:rPr>
        <w:t xml:space="preserve">(542B,272C) </w:t>
      </w:r>
      <w:r>
        <w:rPr>
          <w:rFonts w:ascii="Times New Roman" w:hAnsi="Times New Roman"/>
          <w:b/>
          <w:i w:val="false"/>
          <w:color w:val="000000"/>
          <w:sz w:val="22"/>
        </w:rPr>
        <w:t xml:space="preserve">Biennial requirement. </w:t>
      </w:r>
      <w:r>
        <w:rPr>
          <w:rFonts w:ascii="Times New Roman" w:hAnsi="Times New Roman"/>
          <w:b w:val="false"/>
          <w:i w:val="false"/>
          <w:color w:val="000000"/>
          <w:sz w:val="22"/>
        </w:rPr>
        <w:t>The biennial requirement may only be satisfied during the biennium prior to licensure renewal except for the carryover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1051.5(1)</w:t>
      </w:r>
      <w:r>
        <w:rPr>
          <w:rFonts w:ascii="Times New Roman" w:hAnsi="Times New Roman"/>
          <w:b w:val="false"/>
          <w:i w:val="false"/>
          <w:color w:val="000000"/>
          <w:sz w:val="22"/>
        </w:rPr>
        <w:t> </w:t>
      </w:r>
      <w:r>
        <w:rPr>
          <w:rFonts w:ascii="Times New Roman" w:hAnsi="Times New Roman"/>
          <w:b w:val="false"/>
          <w:i w:val="false"/>
          <w:color w:val="000000"/>
          <w:sz w:val="22"/>
        </w:rPr>
        <w:t>Completion of 30 professional development hours, including at least 2 professional development hours in the area of professional ethics, satisfies the continuing education necessary for biennial licensure renewal in engineering or land surveying. Completion of 40 professional development hours, including 20 professional development hours in engineering and 20 professional development hours in land surveying and at least 4 professional development hours in the area of professional ethics, satisfies the continuing education necessary for biennial licensure renewal for individuals actively licensed in both engineering and land surveying. Up to 15 professional development hours may be carried forward only into the next biennium. For individuals actively licensed in both engineering and land surveying, up to 10 professional development hours for each profession may be carried forward only into the next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1051.5(2)</w:t>
      </w:r>
      <w:r>
        <w:rPr>
          <w:rFonts w:ascii="Times New Roman" w:hAnsi="Times New Roman"/>
          <w:b w:val="false"/>
          <w:i w:val="false"/>
          <w:color w:val="000000"/>
          <w:sz w:val="22"/>
        </w:rPr>
        <w:t> </w:t>
      </w:r>
      <w:r>
        <w:rPr>
          <w:rFonts w:ascii="Times New Roman" w:hAnsi="Times New Roman"/>
          <w:b w:val="false"/>
          <w:i w:val="false"/>
          <w:color w:val="000000"/>
          <w:sz w:val="22"/>
        </w:rPr>
        <w:t>Inactive licensees are exempt from the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1051.5(3)</w:t>
      </w:r>
      <w:r>
        <w:rPr>
          <w:rFonts w:ascii="Times New Roman" w:hAnsi="Times New Roman"/>
          <w:b w:val="false"/>
          <w:i w:val="false"/>
          <w:color w:val="000000"/>
          <w:sz w:val="22"/>
        </w:rPr>
        <w:t> </w:t>
      </w:r>
      <w:r>
        <w:rPr>
          <w:rFonts w:ascii="Times New Roman" w:hAnsi="Times New Roman"/>
          <w:b w:val="false"/>
          <w:i w:val="false"/>
          <w:color w:val="000000"/>
          <w:sz w:val="22"/>
        </w:rPr>
        <w:t>A licensee who is active in one profession and inactive in another is obligated to meet the continuing education requirements for licensure in the profession in which active licensure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1051.5(4)</w:t>
      </w:r>
      <w:r>
        <w:rPr>
          <w:rFonts w:ascii="Times New Roman" w:hAnsi="Times New Roman"/>
          <w:b w:val="false"/>
          <w:i w:val="false"/>
          <w:color w:val="000000"/>
          <w:sz w:val="22"/>
        </w:rPr>
        <w:t> </w:t>
      </w:r>
      <w:r>
        <w:rPr>
          <w:rFonts w:ascii="Times New Roman" w:hAnsi="Times New Roman"/>
          <w:b w:val="false"/>
          <w:i w:val="false"/>
          <w:color w:val="000000"/>
          <w:sz w:val="22"/>
        </w:rPr>
        <w:t>A new licensee is obligated to satisfy one-half of the biennial continuing education requirement at the first renewal following initial licensure. Professional engineers and professional land surveyors licensed by comity are not new licensees and are not eligible for the one-half continuing education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481—1051.6</w:t>
      </w:r>
      <w:r>
        <w:rPr>
          <w:rFonts w:ascii="Times New Roman" w:hAnsi="Times New Roman"/>
          <w:b/>
          <w:i w:val="false"/>
          <w:color w:val="000000"/>
          <w:sz w:val="22"/>
        </w:rPr>
        <w:t xml:space="preserve">(542B,272C)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1051.6(1)</w:t>
      </w:r>
      <w:r>
        <w:rPr>
          <w:rFonts w:ascii="Times New Roman" w:hAnsi="Times New Roman"/>
          <w:b w:val="false"/>
          <w:i w:val="false"/>
          <w:color w:val="000000"/>
          <w:sz w:val="22"/>
        </w:rPr>
        <w:t> </w:t>
      </w:r>
      <w:r>
        <w:rPr>
          <w:rFonts w:ascii="Times New Roman" w:hAnsi="Times New Roman"/>
          <w:b w:val="false"/>
          <w:i w:val="false"/>
          <w:color w:val="000000"/>
          <w:sz w:val="22"/>
        </w:rPr>
        <w:t>The continuing education requirements may be reduced in proportion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Periods of time that the licensee serves honorably on active duty in the military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Periods of time that the licensee is licensed in and a resident of another state or district having continuing education requirements for professional engineering or land surveying and meets all requirements of that state or district for practice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Periods of time that the licensee is a government employee working as a professional engineer or professional land surveyor and assigned to duty outside the United States;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Documented periods of the licensee’s active practice and absence from the United States that are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1051.6(2)</w:t>
      </w:r>
      <w:r>
        <w:rPr>
          <w:rFonts w:ascii="Times New Roman" w:hAnsi="Times New Roman"/>
          <w:b w:val="false"/>
          <w:i w:val="false"/>
          <w:color w:val="000000"/>
          <w:sz w:val="22"/>
        </w:rPr>
        <w:t> </w:t>
      </w:r>
      <w:r>
        <w:rPr>
          <w:rFonts w:ascii="Times New Roman" w:hAnsi="Times New Roman"/>
          <w:b w:val="false"/>
          <w:i w:val="false"/>
          <w:color w:val="000000"/>
          <w:sz w:val="22"/>
        </w:rPr>
        <w:t>No exemption will be granted without a written request from the licensee with documentation of the period of absence.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481—1051.7</w:t>
      </w:r>
      <w:r>
        <w:rPr>
          <w:rFonts w:ascii="Times New Roman" w:hAnsi="Times New Roman"/>
          <w:b/>
          <w:i w:val="false"/>
          <w:color w:val="000000"/>
          <w:sz w:val="22"/>
        </w:rPr>
        <w:t xml:space="preserve">(542B,272C) </w:t>
      </w:r>
      <w:r>
        <w:rPr>
          <w:rFonts w:ascii="Times New Roman" w:hAnsi="Times New Roman"/>
          <w:b/>
          <w:i w:val="false"/>
          <w:color w:val="000000"/>
          <w:sz w:val="22"/>
        </w:rPr>
        <w:t xml:space="preserve">Hardships or extenuating circumstances. </w:t>
      </w:r>
      <w:r>
        <w:rPr>
          <w:rFonts w:ascii="Times New Roman" w:hAnsi="Times New Roman"/>
          <w:b w:val="false"/>
          <w:i w:val="false"/>
          <w:color w:val="000000"/>
          <w:sz w:val="22"/>
        </w:rPr>
        <w:t>Upon a written request to the board, the board may, in individual cases involving hardship or extenuating circumstances, grant waivers of the continuing education requirements for a period of time not to exceed one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481—1051.8</w:t>
      </w:r>
      <w:r>
        <w:rPr>
          <w:rFonts w:ascii="Times New Roman" w:hAnsi="Times New Roman"/>
          <w:b/>
          <w:i w:val="false"/>
          <w:color w:val="000000"/>
          <w:sz w:val="22"/>
        </w:rPr>
        <w:t xml:space="preserve">(542B,272C) </w:t>
      </w:r>
      <w:r>
        <w:rPr>
          <w:rFonts w:ascii="Times New Roman" w:hAnsi="Times New Roman"/>
          <w:b/>
          <w:i w:val="false"/>
          <w:color w:val="000000"/>
          <w:sz w:val="22"/>
        </w:rPr>
        <w:t xml:space="preserve">Reports, records, and compliance review. </w:t>
      </w:r>
      <w:r>
        <w:rPr>
          <w:rFonts w:ascii="Times New Roman" w:hAnsi="Times New Roman"/>
          <w:b w:val="false"/>
          <w:i w:val="false"/>
          <w:color w:val="000000"/>
          <w:sz w:val="22"/>
        </w:rPr>
        <w:t>At the time of application for license renewal, each licensee reports, on a form provided by the board, the number of professional development hours achieved during the preceding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1051.8(1)</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Maintaining records to be used to support professional development hours claimed is the responsibility of the licensee. It is recommended that each licensee keep a log showing the type of activity claimed, sponsoring organization, location, duration, instructor’s or speaker’s name, and PDH credits earned. The licensee is obligated to maintain documentation of reported PDHs for two years after the period for which the form was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1051.8(2)</w:t>
      </w:r>
      <w:r>
        <w:rPr>
          <w:rFonts w:ascii="Times New Roman" w:hAnsi="Times New Roman"/>
          <w:b w:val="false"/>
          <w:i w:val="false"/>
          <w:color w:val="000000"/>
          <w:sz w:val="22"/>
        </w:rPr>
        <w:t> </w:t>
      </w:r>
      <w:r>
        <w:rPr>
          <w:rFonts w:ascii="Times New Roman" w:hAnsi="Times New Roman"/>
          <w:b w:val="false"/>
          <w:i/>
          <w:color w:val="000000"/>
          <w:sz w:val="22"/>
        </w:rPr>
        <w:t xml:space="preserve">Compliance review. </w:t>
      </w:r>
      <w:r>
        <w:rPr>
          <w:rFonts w:ascii="Times New Roman" w:hAnsi="Times New Roman"/>
          <w:b w:val="false"/>
          <w:i w:val="false"/>
          <w:color w:val="000000"/>
          <w:sz w:val="22"/>
        </w:rPr>
        <w:t>The board may select licensees for review of compliance with continuing education on a random basis or upon receiving information regarding noncompliance and will review compliance with continuing education for reinstatement of lapsed or inactive licenses. Each licensed board member is audited for PDH compliance for a biennium that is within each member’s respective three-year appointment term. For each PDH claimed, licensees chosen for compliance review will furnish: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attendance. Attendance verification records in the form of completion certificates, or other documents supporting evidence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the hours claimed;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about the course content.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1051.8(3)</w:t>
      </w:r>
      <w:r>
        <w:rPr>
          <w:rFonts w:ascii="Times New Roman" w:hAnsi="Times New Roman"/>
          <w:b w:val="false"/>
          <w:i w:val="false"/>
          <w:color w:val="000000"/>
          <w:sz w:val="22"/>
        </w:rPr>
        <w:t> </w:t>
      </w:r>
      <w:r>
        <w:rPr>
          <w:rFonts w:ascii="Times New Roman" w:hAnsi="Times New Roman"/>
          <w:b w:val="false"/>
          <w:i/>
          <w:color w:val="000000"/>
          <w:sz w:val="22"/>
        </w:rPr>
        <w:t xml:space="preserve">Compliance review sanctions. </w:t>
      </w:r>
      <w:r>
        <w:rPr>
          <w:rFonts w:ascii="Times New Roman" w:hAnsi="Times New Roman"/>
          <w:b w:val="false"/>
          <w:i w:val="false"/>
          <w:color w:val="000000"/>
          <w:sz w:val="22"/>
        </w:rPr>
        <w:t xml:space="preserve">Any discrepancy between the number of PDHs reported and the number of PDHs actually supported by documentation may result in a disciplinary review. If, after the disciplinary review, the board disallows any PDH, or the licensee has failed to complete the required PDHs, the licensee has 60 days from board notice to either provide further evidence of having completed the PDHs disallowed or remedy the discrepancy by completing the required number of PDHs (provided that such PDHs are not used again for the next renewal). Extension of time may be granted on an individual basis if requested by the licensee within 30 days of notification by the board. If the licensee fails to comply with the requirements of this subrule, the licensee may be subject to disciplinary action. If the board finds, after proper notice and hearing, that the licensee willfully disregarded these requirements or falsified documentation of required PDHs, the licensee may be subject to disciplinary action as further identified in 481—paragraphs </w:t>
      </w:r>
      <w:hyperlink r:id="rId9">
        <w:r>
          <w:rPr>
            <w:rStyle w:val="Hyperlink"/>
            <w:rFonts w:ascii="Times New Roman" w:hAnsi="Times New Roman"/>
            <w:b w:val="false"/>
            <w:i w:val="false"/>
            <w:color w:val="000000"/>
            <w:sz w:val="22"/>
          </w:rPr>
          <w:t>1053.3(1)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1053.3(3)</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1051.8(4)</w:t>
      </w:r>
      <w:r>
        <w:rPr>
          <w:rFonts w:ascii="Times New Roman" w:hAnsi="Times New Roman"/>
          <w:b w:val="false"/>
          <w:i w:val="false"/>
          <w:color w:val="000000"/>
          <w:sz w:val="22"/>
        </w:rPr>
        <w:t> </w:t>
      </w:r>
      <w:r>
        <w:rPr>
          <w:rFonts w:ascii="Times New Roman" w:hAnsi="Times New Roman"/>
          <w:b w:val="false"/>
          <w:i/>
          <w:color w:val="000000"/>
          <w:sz w:val="22"/>
        </w:rPr>
        <w:t xml:space="preserve">Out-of-state residents. </w:t>
      </w:r>
      <w:r>
        <w:rPr>
          <w:rFonts w:ascii="Times New Roman" w:hAnsi="Times New Roman"/>
          <w:b w:val="false"/>
          <w:i w:val="false"/>
          <w:color w:val="000000"/>
          <w:sz w:val="22"/>
        </w:rPr>
        <w:t xml:space="preserve">A person licensed to practice engineering or land surveying or both in Iowa shall be deemed to have complied with the continuing education requirement of this state during the periods that the person is a resident of another state or district that has a continuing education requirement for engineers or land surveyors and the individual meets all requirements of that state or district for practice therein. However, if selected for compliance review, such individuals must provide documentation as specified in subrule </w:t>
      </w:r>
      <w:hyperlink r:id="rId11">
        <w:r>
          <w:rPr>
            <w:rStyle w:val="Hyperlink"/>
            <w:rFonts w:ascii="Times New Roman" w:hAnsi="Times New Roman"/>
            <w:b w:val="false"/>
            <w:i w:val="false"/>
            <w:color w:val="000000"/>
            <w:sz w:val="22"/>
          </w:rPr>
          <w:t>1051.8(2)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542B.6</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542B.18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12/8/78, Notice 10/4/78—published 12/27/78, effective 1/31/79]</w:t>
      </w:r>
    </w:p>
    <w:p>
      <w:pPr>
        <w:spacing w:before="0" w:after="0"/>
        <w:ind w:left="120"/>
        <w:jc w:val="center"/>
      </w:pPr>
      <w:r>
        <w:rPr>
          <w:rFonts w:ascii="Times New Roman" w:hAnsi="Times New Roman"/>
          <w:b w:val="false"/>
          <w:i w:val="false"/>
          <w:color w:val="000000"/>
          <w:sz w:val="21"/>
        </w:rPr>
        <w:t>[Filed 9/25/81, Notice 7/22/81—published 10/14/81, effective 11/18/81]</w:t>
      </w:r>
    </w:p>
    <w:p>
      <w:pPr>
        <w:spacing w:before="0" w:after="0"/>
        <w:ind w:left="120"/>
        <w:jc w:val="center"/>
      </w:pP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21"/>
        </w:rPr>
        <w:t>[Filed 5/13/88, Notice 3/9/88—published 6/1/88, effective 7/6/88]</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10/5/95, Notice 8/16/95—published 10/25/95, effective 11/29/95]</w:t>
      </w:r>
    </w:p>
    <w:p>
      <w:pPr>
        <w:spacing w:before="0" w:after="0"/>
        <w:ind w:left="120"/>
        <w:jc w:val="center"/>
      </w:pPr>
      <w:r>
        <w:rPr>
          <w:rFonts w:ascii="Times New Roman" w:hAnsi="Times New Roman"/>
          <w:b w:val="false"/>
          <w:i w:val="false"/>
          <w:color w:val="000000"/>
          <w:sz w:val="21"/>
        </w:rPr>
        <w:t>[Filed 3/6/97, Notice 11/20/96—published 3/26/97, effective 4/30/97]</w:t>
      </w:r>
    </w:p>
    <w:p>
      <w:pPr>
        <w:spacing w:before="0" w:after="0"/>
        <w:ind w:left="120"/>
        <w:jc w:val="center"/>
      </w:pPr>
      <w:r>
        <w:rPr>
          <w:rFonts w:ascii="Times New Roman" w:hAnsi="Times New Roman"/>
          <w:b w:val="false"/>
          <w:i w:val="false"/>
          <w:color w:val="000000"/>
          <w:sz w:val="21"/>
        </w:rPr>
        <w:t>[Filed 9/5/97, Notice 6/18/97—published 9/24/97, effective 10/29/97]</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11/21/02, Notice 10/2/02—published 12/11/02, effective 1/15/03]</w:t>
      </w:r>
    </w:p>
    <w:p>
      <w:pPr>
        <w:spacing w:before="0" w:after="0"/>
        <w:ind w:left="120"/>
        <w:jc w:val="center"/>
      </w:pPr>
      <w:r>
        <w:rPr>
          <w:rFonts w:ascii="Times New Roman" w:hAnsi="Times New Roman"/>
          <w:b w:val="false"/>
          <w:i w:val="false"/>
          <w:color w:val="000000"/>
          <w:sz w:val="21"/>
        </w:rPr>
        <w:t>[Filed 9/24/04, Notice 7/7/04—published 10/13/04, effective 11/17/04]</w:t>
      </w:r>
    </w:p>
    <w:p>
      <w:pPr>
        <w:spacing w:before="0" w:after="0"/>
        <w:ind w:left="120"/>
        <w:jc w:val="center"/>
      </w:pPr>
      <w:r>
        <w:rPr>
          <w:rFonts w:ascii="Times New Roman" w:hAnsi="Times New Roman"/>
          <w:b w:val="false"/>
          <w:i w:val="false"/>
          <w:color w:val="000000"/>
          <w:sz w:val="21"/>
        </w:rPr>
        <w:t>[Filed 3/11/05, Notice 12/22/04—published 3/30/05, effective 5/4/05]</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2022C</w:t>
      </w:r>
      <w:r>
        <w:rPr>
          <w:rFonts w:ascii="Times New Roman" w:hAnsi="Times New Roman"/>
          <w:b w:val="false"/>
          <w:i w:val="false"/>
          <w:color w:val="000000"/>
          <w:sz w:val="21"/>
        </w:rPr>
        <w:t xml:space="preserve"> (Notice ARC 1886C, IAB 2/18/15)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5953C</w:t>
      </w:r>
      <w:r>
        <w:rPr>
          <w:rFonts w:ascii="Times New Roman" w:hAnsi="Times New Roman"/>
          <w:b w:val="false"/>
          <w:i w:val="false"/>
          <w:color w:val="000000"/>
          <w:sz w:val="21"/>
        </w:rPr>
        <w:t xml:space="preserve"> (Notice ARC 5819C,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7670C</w:t>
      </w:r>
      <w:r>
        <w:rPr>
          <w:rFonts w:ascii="Times New Roman" w:hAnsi="Times New Roman"/>
          <w:b w:val="false"/>
          <w:i w:val="false"/>
          <w:color w:val="000000"/>
          <w:sz w:val="21"/>
        </w:rPr>
        <w:t xml:space="preserve"> (Notice ARC 7410C,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1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1051.2.pdf" Type="http://schemas.openxmlformats.org/officeDocument/2006/relationships/hyperlink" Id="rId5"/>
    <Relationship TargetMode="External" Target="https://www.legis.iowa.gov/docs/iac/rule/481.1051.2.pdf" Type="http://schemas.openxmlformats.org/officeDocument/2006/relationships/hyperlink" Id="rId6"/>
    <Relationship TargetMode="External" Target="https://www.legis.iowa.gov/docs/iac/rule/481.1051.8.pdf" Type="http://schemas.openxmlformats.org/officeDocument/2006/relationships/hyperlink" Id="rId7"/>
    <Relationship TargetMode="External" Target="https://www.legis.iowa.gov/docs/iac/rule/481.1051.4.pdf" Type="http://schemas.openxmlformats.org/officeDocument/2006/relationships/hyperlink" Id="rId8"/>
    <Relationship TargetMode="External" Target="https://www.legis.iowa.gov/docs/iac/rule/481.1053.3.pdf" Type="http://schemas.openxmlformats.org/officeDocument/2006/relationships/hyperlink" Id="rId9"/>
    <Relationship TargetMode="External" Target="https://www.legis.iowa.gov/docs/iac/rule/481.1053.3.pdf" Type="http://schemas.openxmlformats.org/officeDocument/2006/relationships/hyperlink" Id="rId10"/>
    <Relationship TargetMode="External" Target="https://www.legis.iowa.gov/docs/iac/rule/481.1051.8.pdf" Type="http://schemas.openxmlformats.org/officeDocument/2006/relationships/hyperlink" Id="rId11"/>
    <Relationship TargetMode="External" Target="https://www.legis.iowa.gov/docs/ico/chapter/272C.2.pdf" Type="http://schemas.openxmlformats.org/officeDocument/2006/relationships/hyperlink" Id="rId12"/>
    <Relationship TargetMode="External" Target="https://www.legis.iowa.gov/docs/ico/chapter/272C.3.pdf" Type="http://schemas.openxmlformats.org/officeDocument/2006/relationships/hyperlink" Id="rId13"/>
    <Relationship TargetMode="External" Target="https://www.legis.iowa.gov/docs/ico/chapter/542B.6.pdf" Type="http://schemas.openxmlformats.org/officeDocument/2006/relationships/hyperlink" Id="rId14"/>
    <Relationship TargetMode="External" Target="https://www.legis.iowa.gov/docs/ico/chapter/542B.18.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