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1049</w:t>
      </w:r>
    </w:p>
    <w:p>
      <w:pPr>
        <w:spacing w:before="0" w:after="0"/>
        <w:ind w:left="120"/>
        <w:jc w:val="center"/>
      </w:pPr>
      <w:r>
        <w:rPr>
          <w:rFonts w:ascii="Times New Roman" w:hAnsi="Times New Roman"/>
          <w:b w:val="false"/>
          <w:i w:val="false"/>
          <w:color w:val="000000"/>
          <w:sz w:val="21"/>
        </w:rPr>
        <w:t>LAND SURVEYING LICENSURE</w:t>
      </w:r>
    </w:p>
    <w:p>
      <w:pPr>
        <w:spacing w:before="0" w:after="0"/>
        <w:ind w:left="120"/>
        <w:jc w:val="center"/>
      </w:pPr>
      <w:r>
        <w:rPr>
          <w:rFonts w:ascii="Times New Roman" w:hAnsi="Times New Roman"/>
          <w:b w:val="false"/>
          <w:i w:val="false"/>
          <w:color w:val="000000"/>
          <w:sz w:val="20"/>
        </w:rPr>
        <w:t>[Prior to 11/14/01, see 193C—1.4(542B)]</w:t>
      </w:r>
    </w:p>
    <w:p>
      <w:pPr>
        <w:spacing w:before="0" w:after="0"/>
        <w:ind w:left="120"/>
        <w:jc w:val="center"/>
      </w:pPr>
      <w:r>
        <w:rPr>
          <w:rFonts w:ascii="Times New Roman" w:hAnsi="Times New Roman"/>
          <w:b w:val="false"/>
          <w:i w:val="false"/>
          <w:color w:val="000000"/>
          <w:sz w:val="20"/>
        </w:rPr>
        <w:t>[Prior to 6/24/26, see Engineering and Land Surveying Examining Board[193C]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481—1049.1</w:t>
      </w:r>
      <w:r>
        <w:rPr>
          <w:rFonts w:ascii="Times New Roman" w:hAnsi="Times New Roman"/>
          <w:b/>
          <w:i w:val="false"/>
          <w:color w:val="000000"/>
          <w:sz w:val="22"/>
        </w:rPr>
        <w:t xml:space="preserve">(542B) </w:t>
      </w:r>
      <w:r>
        <w:rPr>
          <w:rFonts w:ascii="Times New Roman" w:hAnsi="Times New Roman"/>
          <w:b/>
          <w:i w:val="false"/>
          <w:color w:val="000000"/>
          <w:sz w:val="22"/>
        </w:rPr>
        <w:t xml:space="preserve">Requirements for licensure by examination. </w:t>
      </w:r>
      <w:r>
        <w:rPr>
          <w:rFonts w:ascii="Times New Roman" w:hAnsi="Times New Roman"/>
          <w:b w:val="false"/>
          <w:i w:val="false"/>
          <w:color w:val="000000"/>
          <w:sz w:val="22"/>
        </w:rPr>
        <w:t xml:space="preserve">The specific requirements for initial licensing in Iowa are established in Iowa Code section </w:t>
      </w:r>
      <w:hyperlink r:id="rId5">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and it is the board’s intention to issue initial licensure only when those requirements are satisfied chronologically as set forth in the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for initial licensure in Iowa must satisfy the education plus experience requirements stated in Iowa Code section </w:t>
      </w:r>
      <w:hyperlink r:id="rId6">
        <w:r>
          <w:rPr>
            <w:rStyle w:val="Hyperlink"/>
            <w:rFonts w:ascii="Times New Roman" w:hAnsi="Times New Roman"/>
            <w:b w:val="false"/>
            <w:i w:val="false"/>
            <w:color w:val="000000"/>
            <w:sz w:val="22"/>
          </w:rPr>
          <w:t>542B.14</w:t>
        </w:r>
      </w:hyperlink>
      <w:r>
        <w:rPr>
          <w:rFonts w:ascii="Times New Roman" w:hAnsi="Times New Roman"/>
          <w:b w:val="false"/>
          <w:i/>
          <w:color w:val="000000"/>
          <w:sz w:val="22"/>
        </w:rPr>
        <w:t>“b”</w:t>
      </w:r>
      <w:r>
        <w:rPr>
          <w:rFonts w:ascii="Times New Roman" w:hAnsi="Times New Roman"/>
          <w:b w:val="false"/>
          <w:i w:val="false"/>
          <w:color w:val="000000"/>
          <w:sz w:val="22"/>
        </w:rPr>
        <w:t xml:space="preserve">(1). The chart in subrule </w:t>
      </w:r>
      <w:hyperlink r:id="rId7">
        <w:r>
          <w:rPr>
            <w:rStyle w:val="Hyperlink"/>
            <w:rFonts w:ascii="Times New Roman" w:hAnsi="Times New Roman"/>
            <w:b w:val="false"/>
            <w:i w:val="false"/>
            <w:color w:val="000000"/>
            <w:sz w:val="22"/>
          </w:rPr>
          <w:t>1049.1(8)</w:t>
        </w:r>
      </w:hyperlink>
      <w:r>
        <w:rPr>
          <w:rFonts w:ascii="Times New Roman" w:hAnsi="Times New Roman"/>
          <w:b w:val="false"/>
          <w:i w:val="false"/>
          <w:color w:val="000000"/>
          <w:sz w:val="22"/>
        </w:rPr>
        <w:t xml:space="preserve"> details education-based experience requirements. If the applicant’s degree is not in surveying, surveying technology, engineering, or engineering technology, the applicant must have taken a minimum of nine credit hours in mathematics, of which at least one course must include trigonometry in its coursework, and may include college algebra, trigonometry, analytic geometry, differential and integral calculus, linear algebra, numerical analysis, probability and statistics, and advanced calculus; and a minimum of nine credit hours in basic sciences, which must cover one or more of the following topics: general chemistry, advanced chemistry, biology, geology, ecology, meteorology, astronomy, forestry, general physics, advanced physics, or land surveying, for the applicant’s degree to be a qualifying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Internet or online degrees will only be considered as qualifying degrees if the institution issuing the degree is accredited by a recognized accreditation board or the degree is evaluated as substantially equivalent to that of an accredited program by the National Council of Examiners for Engineering and Surveying (NCEES). The board may accept evaluations from other recognized foreign credential evaluators satisfactory to the board. Initiating the evaluation and the expense of the evaluation are the responsibilities of the applicant. Each evaluation shall be sent directly to the board from the evaluation service and shall include a copy of the transcript in the form sent to the evaluation service directly from the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Internet or online degrees will only be considered as qualifying degrees if the institution issuing the degree is accredited by a recognized accreditation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successfully complete the Fundamentals of Land Surveying examination. The applicant may take the Fundamentals of Land Surveying examination any time after the education and experience requirements described above are completed.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1049.1(3)</w:t>
      </w:r>
      <w:r>
        <w:rPr>
          <w:rFonts w:ascii="Times New Roman" w:hAnsi="Times New Roman"/>
          <w:b w:val="false"/>
          <w:i w:val="false"/>
          <w:color w:val="000000"/>
          <w:sz w:val="22"/>
        </w:rPr>
        <w:t> </w:t>
      </w:r>
      <w:r>
        <w:rPr>
          <w:rFonts w:ascii="Times New Roman" w:hAnsi="Times New Roman"/>
          <w:b w:val="false"/>
          <w:i w:val="false"/>
          <w:color w:val="000000"/>
          <w:sz w:val="22"/>
        </w:rPr>
        <w:t>The applicant must successfully complete the Principles and Practice of Land Surveying examination. An applicant may take the Principles and Practice of Land Surveying examination after passing the Fundamentals of Land Surveying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1049.1(4)</w:t>
      </w:r>
      <w:r>
        <w:rPr>
          <w:rFonts w:ascii="Times New Roman" w:hAnsi="Times New Roman"/>
          <w:b w:val="false"/>
          <w:i w:val="false"/>
          <w:color w:val="000000"/>
          <w:sz w:val="22"/>
        </w:rPr>
        <w:t> </w:t>
      </w:r>
      <w:r>
        <w:rPr>
          <w:rFonts w:ascii="Times New Roman" w:hAnsi="Times New Roman"/>
          <w:b w:val="false"/>
          <w:i w:val="false"/>
          <w:color w:val="000000"/>
          <w:sz w:val="22"/>
        </w:rPr>
        <w:t>The applicant satisfies the qualifying experience requirements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1049.1(5)</w:t>
      </w:r>
      <w:r>
        <w:rPr>
          <w:rFonts w:ascii="Times New Roman" w:hAnsi="Times New Roman"/>
          <w:b w:val="false"/>
          <w:i w:val="false"/>
          <w:color w:val="000000"/>
          <w:sz w:val="22"/>
        </w:rPr>
        <w:t> </w:t>
      </w:r>
      <w:r>
        <w:rPr>
          <w:rFonts w:ascii="Times New Roman" w:hAnsi="Times New Roman"/>
          <w:b w:val="false"/>
          <w:i w:val="false"/>
          <w:color w:val="000000"/>
          <w:sz w:val="22"/>
        </w:rPr>
        <w:t>The applicant must successfully complete the Iowa-specific land surveying examination administered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1049.1(6)</w:t>
      </w:r>
      <w:r>
        <w:rPr>
          <w:rFonts w:ascii="Times New Roman" w:hAnsi="Times New Roman"/>
          <w:b w:val="false"/>
          <w:i w:val="false"/>
          <w:color w:val="000000"/>
          <w:sz w:val="22"/>
        </w:rPr>
        <w:t> </w:t>
      </w:r>
      <w:r>
        <w:rPr>
          <w:rFonts w:ascii="Times New Roman" w:hAnsi="Times New Roman"/>
          <w:b w:val="false"/>
          <w:i w:val="false"/>
          <w:color w:val="000000"/>
          <w:sz w:val="22"/>
        </w:rPr>
        <w:t>Work project description. A complete application includes a statement of approximately 200 words describing a significant project on which the applicant worked closely during the last 12 months. The statement describes the applicant’s degree of responsibility for the project and identifies the project’s owner and its location. The statement is signed and dated. The criteria the board uses in evaluating the acceptability of the project as qualifying experience for the applicant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degree to which the project and the experience described has progressed from assignments typical of initial assignments to those more nearly expected of a licensed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scope and quality of the professional tutelage experienced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technical decisions required of the applicant in the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professional decisions required of the applicant.</w:t>
      </w:r>
    </w:p>
    <w:p>
      <w:pPr>
        <w:spacing w:before="0" w:after="0"/>
        <w:ind w:left="120"/>
        <w:jc w:val="both"/>
      </w:pPr>
      <w:r>
        <w:rPr>
          <w:rFonts w:ascii="Times New Roman" w:hAnsi="Times New Roman"/>
          <w:b w:val="false"/>
          <w:i w:val="false"/>
          <w:color w:val="000000"/>
          <w:sz w:val="22"/>
        </w:rPr>
        <w:t>The board reserves the right to contact the employer and the person providing tutelage on the project for information about the project experience presented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1049.1(7)</w:t>
      </w:r>
      <w:r>
        <w:rPr>
          <w:rFonts w:ascii="Times New Roman" w:hAnsi="Times New Roman"/>
          <w:b w:val="false"/>
          <w:i w:val="false"/>
          <w:color w:val="000000"/>
          <w:sz w:val="22"/>
        </w:rPr>
        <w:t> </w:t>
      </w:r>
      <w:r>
        <w:rPr>
          <w:rFonts w:ascii="Times New Roman" w:hAnsi="Times New Roman"/>
          <w:b w:val="false"/>
          <w:i w:val="false"/>
          <w:color w:val="000000"/>
          <w:sz w:val="22"/>
        </w:rPr>
        <w:t>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for the Principles and Practice of Land Surveying examination will submit a minimum of three references, on forms provided by the board,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references will be from licensed professional land surveyors.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applicant has had more than one supervisor, at least two of the references are from a supervisor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 has had professional experience under more than one employer, the applicant provides references from individuals with knowledge of the work performed under a minimum of two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board reserves the right to contact employers for information about the applicant’s professional experience and competence or to request additional 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the Fundamentals of Land Surveying examination will provide three references on forms provided by the board. </w:t>
      </w:r>
    </w:p>
    <w:p>
      <w:pPr>
        <w:spacing w:before="0" w:after="0"/>
        <w:ind w:left="120"/>
        <w:jc w:val="both"/>
      </w:pPr>
      <w:r>
        <w:rPr>
          <w:rFonts w:ascii="Times New Roman" w:hAnsi="Times New Roman"/>
          <w:b/>
          <w:i w:val="false"/>
          <w:color w:val="000000"/>
          <w:sz w:val="22"/>
        </w:rPr>
        <w:t>1049.1(8)</w:t>
      </w:r>
      <w:r>
        <w:rPr>
          <w:rFonts w:ascii="Times New Roman" w:hAnsi="Times New Roman"/>
          <w:b w:val="false"/>
          <w:i w:val="false"/>
          <w:color w:val="000000"/>
          <w:sz w:val="22"/>
        </w:rPr>
        <w:t> </w:t>
      </w:r>
      <w:r>
        <w:rPr>
          <w:rFonts w:ascii="Times New Roman" w:hAnsi="Times New Roman"/>
          <w:b w:val="false"/>
          <w:i w:val="false"/>
          <w:color w:val="000000"/>
          <w:sz w:val="22"/>
        </w:rPr>
        <w:t>Education and experience requirements. The board requires the minimum number of years set forth on the following chart before an applicant may take either the Fundamentals of Land Surveying or the Principles and Practice of Land Surveying examination. To determine the total years to become licensed as a land surveyor in Iowa, column 2 is added to column 1.</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055"/>
        <w:gridCol w:w="3640"/>
        <w:gridCol w:w="3520"/>
      </w:tblGrid>
      <w:tr>
        <w:trPr>
          <w:trHeight w:val="195" w:hRule="atLeast"/>
        </w:trPr>
        <w:tc>
          <w:tcPr>
            <w:tcW w:w="0" w:type="auto"/>
            <w:gridSpan w:val="3"/>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EXPERIENCE REQUIREMENTS </w:t>
            </w:r>
          </w:p>
        </w:tc>
      </w:tr>
      <w:tr>
        <w:trPr>
          <w:trHeight w:val="825" w:hRule="atLeast"/>
        </w:trPr>
        <w:tc>
          <w:tcPr>
            <w:tcW w:w="40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xml:space="preserve">If the applicant’s </w:t>
            </w:r>
            <w:r>
              <w:br/>
            </w:r>
            <w:r>
              <w:rPr>
                <w:rFonts w:ascii="Times New Roman" w:hAnsi="Times New Roman"/>
                <w:b w:val="false"/>
                <w:i w:val="false"/>
                <w:color w:val="000000"/>
                <w:sz w:val="14"/>
              </w:rPr>
              <w:t>educational level was:</w:t>
            </w:r>
          </w:p>
        </w:tc>
        <w:tc>
          <w:tcPr>
            <w:tcW w:w="36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applicant must have the following years of experience prior to taking the Fundamentals of Land Surveying examination and the Principles and Practice examination:</w:t>
            </w:r>
          </w:p>
        </w:tc>
        <w:tc>
          <w:tcPr>
            <w:tcW w:w="35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applicant must have the following additional years of experience before the board will issue a license in land surveying:*</w:t>
            </w:r>
          </w:p>
        </w:tc>
      </w:tr>
      <w:tr>
        <w:trPr>
          <w:trHeight w:val="360"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A college program with fewer than nine credit hours of surveying [subrule 5.1(1)]</w:t>
            </w:r>
          </w:p>
        </w:tc>
        <w:tc>
          <w:tcPr>
            <w:tcW w:w="36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5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Two-year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c>
          <w:tcPr>
            <w:tcW w:w="3520"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w:t>
            </w:r>
          </w:p>
        </w:tc>
        <w:tc>
          <w:tcPr>
            <w:tcW w:w="3520"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Graduate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w:t>
            </w:r>
          </w:p>
        </w:tc>
        <w:tc>
          <w:tcPr>
            <w:tcW w:w="3520"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A college program with nine or more credit hours of surveying</w:t>
            </w:r>
          </w:p>
        </w:tc>
        <w:tc>
          <w:tcPr>
            <w:tcW w:w="36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5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Two-year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3520"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3520"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240"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Graduate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3520"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bl>
    <w:p>
      <w:pPr>
        <w:spacing w:before="0" w:after="0"/>
        <w:ind w:left="120"/>
        <w:jc w:val="both"/>
      </w:pPr>
      <w:r>
        <w:rPr>
          <w:rFonts w:ascii="Times New Roman" w:hAnsi="Times New Roman"/>
          <w:b w:val="false"/>
          <w:i w:val="false"/>
          <w:color w:val="000000"/>
          <w:sz w:val="22"/>
        </w:rPr>
        <w:t>*This allows applicants to take the Principles and Practice of Land Surveying examination and Iowa State Specific Land Surveying examination during this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1049.1(9)</w:t>
      </w:r>
      <w:r>
        <w:rPr>
          <w:rFonts w:ascii="Times New Roman" w:hAnsi="Times New Roman"/>
          <w:b w:val="false"/>
          <w:i w:val="false"/>
          <w:color w:val="000000"/>
          <w:sz w:val="22"/>
        </w:rPr>
        <w:t> </w:t>
      </w:r>
      <w:r>
        <w:rPr>
          <w:rFonts w:ascii="Times New Roman" w:hAnsi="Times New Roman"/>
          <w:b w:val="false"/>
          <w:i w:val="false"/>
          <w:color w:val="000000"/>
          <w:sz w:val="22"/>
        </w:rPr>
        <w:t>Practical experience requirements. Practical land surveying experience, of which a minimum of one-half shall be field experience, is required prior to licensing. All practical experience must occur after high school graduation and be under the tutelage of a professional land surveyor.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 xml:space="preserve">Experience will demonstrate that the applicant has developed technical skill and initiative in the correct application of surveying principles. For the purposes of this chapter, one year of experience shall consist of 1,872 hours of full- or part-time employment, as attested to by the applicant’s references. An applicant may use a maximum of 1,872 hours in any one 12-month period to satisfy the experience requirements. Full-time students, as defined by the student’s school, may not, simultaneously, be considered full-time employees for the purposes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Experience will be of sufficient breadth and scope to ensure that the applicant has attained reasonably well-rounded professional competence in land surveying. For purposes of this rule, field experience is considered of sufficient breadth and scope if the applicant conducts research for boundary surveys, conducts boundary monument recovery field work, gathers field information necessary for boundary line recovery, analyzes all collected boundary recovery field data, establishes land surveying monuments in the field, prepares land surveying documents, as defined in this chapter, and writes property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Progression. </w:t>
      </w:r>
      <w:r>
        <w:rPr>
          <w:rFonts w:ascii="Times New Roman" w:hAnsi="Times New Roman"/>
          <w:b w:val="false"/>
          <w:i w:val="false"/>
          <w:color w:val="000000"/>
          <w:sz w:val="22"/>
        </w:rPr>
        <w:t xml:space="preserve">The record of experience will indicate successive and continued progress from initial work of simpler character to recent work of greater complexity and higher degree of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Advanced education and military experience. </w:t>
      </w:r>
      <w:r>
        <w:rPr>
          <w:rFonts w:ascii="Times New Roman" w:hAnsi="Times New Roman"/>
          <w:b w:val="false"/>
          <w:i w:val="false"/>
          <w:color w:val="000000"/>
          <w:sz w:val="22"/>
        </w:rPr>
        <w:t>An applicant’s advanced education, military experience, or both will be reviewed to determine if they are applicable toward the statutory requirements for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Joint applications. </w:t>
      </w:r>
      <w:r>
        <w:rPr>
          <w:rFonts w:ascii="Times New Roman" w:hAnsi="Times New Roman"/>
          <w:b w:val="false"/>
          <w:i w:val="false"/>
          <w:color w:val="000000"/>
          <w:sz w:val="22"/>
        </w:rPr>
        <w:t>Applicants requesting licensure both as professional engineers and professional land surveyors must submit a history of professional experience in both fields. Such histories will be considered separately on a case-by-case basis. The board does not grant full credit for concurrent experience in both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1049.1(10)</w:t>
      </w:r>
      <w:r>
        <w:rPr>
          <w:rFonts w:ascii="Times New Roman" w:hAnsi="Times New Roman"/>
          <w:b w:val="false"/>
          <w:i w:val="false"/>
          <w:color w:val="000000"/>
          <w:sz w:val="22"/>
        </w:rPr>
        <w:t> </w:t>
      </w:r>
      <w:r>
        <w:rPr>
          <w:rFonts w:ascii="Times New Roman" w:hAnsi="Times New Roman"/>
          <w:b w:val="false"/>
          <w:i w:val="false"/>
          <w:color w:val="000000"/>
          <w:sz w:val="22"/>
        </w:rPr>
        <w:t>Examinations. The board prepares and grades the Iowa State Specific Land Surveying examination administered to professional land surveyor candidates. All other examinations are uniform examinations prepared and graded by the NCEES. The board may negotiate an agreement with an examination service to administer the examinations to applicants approved by the board, in which case applicants pay examination fees directly to the service.</w:t>
      </w:r>
    </w:p>
    <w:p>
      <w:pPr>
        <w:spacing w:before="0" w:after="0"/>
        <w:ind w:left="120"/>
        <w:jc w:val="both"/>
      </w:pPr>
      <w:r>
        <w:rPr>
          <w:rFonts w:ascii="Times New Roman" w:hAnsi="Times New Roman"/>
          <w:b w:val="false"/>
          <w:i w:val="false"/>
          <w:color w:val="000000"/>
          <w:sz w:val="22"/>
        </w:rPr>
        <w:t xml:space="preserve">An applicant who has failed two consecutive examinations of the state-specific portion of the professional land surveying examination is not allowed to retake the state-specific portion for one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Materials permitted in examination room. </w:t>
      </w:r>
      <w:r>
        <w:rPr>
          <w:rFonts w:ascii="Times New Roman" w:hAnsi="Times New Roman"/>
          <w:b w:val="false"/>
          <w:i w:val="false"/>
          <w:color w:val="000000"/>
          <w:sz w:val="22"/>
        </w:rPr>
        <w:t>For security reasons, applicants shall comply with requirements regarding materials permitted in the examination room as issued by the NCEES and provided to candidates prior to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Release of examination results. </w:t>
      </w:r>
      <w:r>
        <w:rPr>
          <w:rFonts w:ascii="Times New Roman" w:hAnsi="Times New Roman"/>
          <w:b w:val="false"/>
          <w:i w:val="false"/>
          <w:color w:val="000000"/>
          <w:sz w:val="22"/>
        </w:rPr>
        <w:t>Results of any examination are only reported as pass or fail, except that the candidate who fails an examination may be provided with the candidate’s converted score and a diagnostic report indicating areas of weakness, as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481—1049.2</w:t>
      </w:r>
      <w:r>
        <w:rPr>
          <w:rFonts w:ascii="Times New Roman" w:hAnsi="Times New Roman"/>
          <w:b/>
          <w:i w:val="false"/>
          <w:color w:val="000000"/>
          <w:sz w:val="22"/>
        </w:rPr>
        <w:t xml:space="preserve">(542B) </w:t>
      </w:r>
      <w:r>
        <w:rPr>
          <w:rFonts w:ascii="Times New Roman" w:hAnsi="Times New Roman"/>
          <w:b/>
          <w:i w:val="false"/>
          <w:color w:val="000000"/>
          <w:sz w:val="22"/>
        </w:rPr>
        <w:t xml:space="preserve">Requirements for licensure by comity. </w:t>
      </w:r>
      <w:r>
        <w:rPr>
          <w:rFonts w:ascii="Times New Roman" w:hAnsi="Times New Roman"/>
          <w:b w:val="false"/>
          <w:i w:val="false"/>
          <w:color w:val="000000"/>
          <w:sz w:val="22"/>
        </w:rPr>
        <w:t xml:space="preserve">A person holding a certificate of licensure to engage in the practice of land surveying issued by a proper authority of a jurisdiction or possession of the United States, the District of Columbia, or any foreign country, based on requirements that do not conflict with the provisions of Iowa Code section </w:t>
      </w:r>
      <w:hyperlink r:id="rId8">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and of a standard not lower than that specified in the applicable licensure Act, may, upon application and successful completion of the Iowa State Specific Land Surveying examination, be licensed without further examination. Comity applicants are governed by the same standards as are required of Iowa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1049.2(1)</w:t>
      </w:r>
      <w:r>
        <w:rPr>
          <w:rFonts w:ascii="Times New Roman" w:hAnsi="Times New Roman"/>
          <w:b w:val="false"/>
          <w:i w:val="false"/>
          <w:color w:val="000000"/>
          <w:sz w:val="22"/>
        </w:rPr>
        <w:t> </w:t>
      </w:r>
      <w:r>
        <w:rPr>
          <w:rFonts w:ascii="Times New Roman" w:hAnsi="Times New Roman"/>
          <w:b w:val="false"/>
          <w:i/>
          <w:color w:val="000000"/>
          <w:sz w:val="22"/>
        </w:rPr>
        <w:t xml:space="preserve">References. </w:t>
      </w:r>
      <w:r>
        <w:rPr>
          <w:rFonts w:ascii="Times New Roman" w:hAnsi="Times New Roman"/>
          <w:b w:val="false"/>
          <w:i w:val="false"/>
          <w:color w:val="000000"/>
          <w:sz w:val="22"/>
        </w:rPr>
        <w:t>An applicant for licensure by comity shall submit one or more professional land surveyor references on forms provided by the board to verify the number of years of satisfactory experience required with the applicant’s level of education. The board reserves the right to contact employers for information about the applicant’s professional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1049.2(2)</w:t>
      </w:r>
      <w:r>
        <w:rPr>
          <w:rFonts w:ascii="Times New Roman" w:hAnsi="Times New Roman"/>
          <w:b w:val="false"/>
          <w:i w:val="false"/>
          <w:color w:val="000000"/>
          <w:sz w:val="22"/>
        </w:rPr>
        <w:t> </w:t>
      </w:r>
      <w:r>
        <w:rPr>
          <w:rFonts w:ascii="Times New Roman" w:hAnsi="Times New Roman"/>
          <w:b w:val="false"/>
          <w:i/>
          <w:color w:val="000000"/>
          <w:sz w:val="22"/>
        </w:rPr>
        <w:t xml:space="preserve">Comity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proof of active land surveying licensure in another jurisdiction and be in good standing with that jurisdiction’s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for licensure by comity from a jurisdiction other than Iowa will satisfy the education and experience requirements as set forth in Iowa Code section </w:t>
      </w:r>
      <w:hyperlink r:id="rId9">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and rule </w:t>
      </w:r>
      <w:hyperlink r:id="rId10">
        <w:r>
          <w:rPr>
            <w:rStyle w:val="Hyperlink"/>
            <w:rFonts w:ascii="Times New Roman" w:hAnsi="Times New Roman"/>
            <w:b w:val="false"/>
            <w:i w:val="false"/>
            <w:color w:val="000000"/>
            <w:sz w:val="22"/>
          </w:rPr>
          <w:t>481—1049.1</w:t>
        </w:r>
      </w:hyperlink>
      <w:r>
        <w:rPr>
          <w:rFonts w:ascii="Times New Roman" w:hAnsi="Times New Roman"/>
          <w:b w:val="false"/>
          <w:i w:val="false"/>
          <w:color w:val="000000"/>
          <w:sz w:val="22"/>
        </w:rPr>
        <w:t xml:space="preserve">(542B) for licensure by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needs to successfully complete the Fundamentals of Land Surveying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needs to successfully complete the Principles and Practice of Land Surveying examination. </w:t>
      </w:r>
    </w:p>
    <w:p>
      <w:pPr>
        <w:spacing w:before="0" w:after="0"/>
        <w:ind w:left="120"/>
        <w:jc w:val="both"/>
      </w:pPr>
      <w:r>
        <w:rPr>
          <w:rFonts w:ascii="Times New Roman" w:hAnsi="Times New Roman"/>
          <w:b w:val="false"/>
          <w:i w:val="false"/>
          <w:color w:val="000000"/>
          <w:sz w:val="22"/>
        </w:rPr>
        <w:t>While the board will consider evidence presented by a comity applicant on non-NCEES examinations successfully completed in a foreign country, the non-NCEES examination will be compared with the appropriate NCEES examination. A non-NCEES professional examination, for instance, must be designed to determine whether a candidate is minimally competent to practice professional land surveying. The examination must be written, objectively graded, verifiable, and developed and validated in accordance with the testing standards of the American Psychological Association or equivalent testing standards. Free-form essays and oral interviews are not equal or superior to NCEES examinations for reasons including the subjective nature of such procedures, lack of verifiable grading standards, and heightened risk of inconsistent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must successfully complete an Iowa State Specific Land Surveying examination administered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1049.2(3)</w:t>
      </w:r>
      <w:r>
        <w:rPr>
          <w:rFonts w:ascii="Times New Roman" w:hAnsi="Times New Roman"/>
          <w:b w:val="false"/>
          <w:i w:val="false"/>
          <w:color w:val="000000"/>
          <w:sz w:val="22"/>
        </w:rPr>
        <w:t> </w:t>
      </w:r>
      <w:r>
        <w:rPr>
          <w:rFonts w:ascii="Times New Roman" w:hAnsi="Times New Roman"/>
          <w:b w:val="false"/>
          <w:i/>
          <w:color w:val="000000"/>
          <w:sz w:val="22"/>
        </w:rPr>
        <w:t xml:space="preserve">Substantial equivalency. </w:t>
      </w:r>
      <w:r>
        <w:rPr>
          <w:rFonts w:ascii="Times New Roman" w:hAnsi="Times New Roman"/>
          <w:b w:val="false"/>
          <w:i w:val="false"/>
          <w:color w:val="000000"/>
          <w:sz w:val="22"/>
        </w:rPr>
        <w:t xml:space="preserve">Pursuant to Iowa Code section </w:t>
      </w:r>
      <w:hyperlink r:id="rId11">
        <w:r>
          <w:rPr>
            <w:rStyle w:val="Hyperlink"/>
            <w:rFonts w:ascii="Times New Roman" w:hAnsi="Times New Roman"/>
            <w:b w:val="false"/>
            <w:i w:val="false"/>
            <w:color w:val="000000"/>
            <w:sz w:val="22"/>
          </w:rPr>
          <w:t>546.10(8)</w:t>
        </w:r>
      </w:hyperlink>
      <w:r>
        <w:rPr>
          <w:rFonts w:ascii="Times New Roman" w:hAnsi="Times New Roman"/>
          <w:b w:val="false"/>
          <w:i w:val="false"/>
          <w:color w:val="000000"/>
          <w:sz w:val="22"/>
        </w:rPr>
        <w:t>, the board may grant a comity application for licensure as a professional land surveyor if the board concludes that the applicant has met or exceeded all requirements for licensure applicable to initial applicants in Iowa, other than the sequence in which experience must be attained.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481—1049.3</w:t>
      </w:r>
      <w:r>
        <w:rPr>
          <w:rFonts w:ascii="Times New Roman" w:hAnsi="Times New Roman"/>
          <w:b/>
          <w:i w:val="false"/>
          <w:color w:val="000000"/>
          <w:sz w:val="22"/>
        </w:rPr>
        <w:t xml:space="preserve">(542B,272C)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 xml:space="preserve">In addition to the requirements of rule </w:t>
      </w:r>
      <w:hyperlink r:id="rId12">
        <w:r>
          <w:rPr>
            <w:rStyle w:val="Hyperlink"/>
            <w:rFonts w:ascii="Times New Roman" w:hAnsi="Times New Roman"/>
            <w:b w:val="false"/>
            <w:i w:val="false"/>
            <w:color w:val="000000"/>
            <w:sz w:val="22"/>
          </w:rPr>
          <w:t>481—501.4</w:t>
        </w:r>
      </w:hyperlink>
      <w:r>
        <w:rPr>
          <w:rFonts w:ascii="Times New Roman" w:hAnsi="Times New Roman"/>
          <w:b w:val="false"/>
          <w:i w:val="false"/>
          <w:color w:val="000000"/>
          <w:sz w:val="22"/>
        </w:rPr>
        <w:t>(272C), professional land surveying candidates applying for an Iowa license by verification must pass the Iowa State Specific Land Surveying examination prior to being issued a license. The board will issue a temporary license that is valid for a period of three months to professional land surveying candidates who have not yet passed the Iowa State Specific Land Surveying examination prior to their application. The professional land surveying candidate may request one renewal of the temporary license for an additional period of three months.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542B.13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542B.15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542B.20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4/22/04, Notice 2/4/04—published 5/12/04, effective 6/16/04]</w:t>
      </w:r>
    </w:p>
    <w:p>
      <w:pPr>
        <w:spacing w:before="0" w:after="0"/>
        <w:ind w:left="120"/>
        <w:jc w:val="center"/>
      </w:pPr>
      <w:r>
        <w:rPr>
          <w:rFonts w:ascii="Times New Roman" w:hAnsi="Times New Roman"/>
          <w:b w:val="false"/>
          <w:i w:val="false"/>
          <w:color w:val="000000"/>
          <w:sz w:val="21"/>
        </w:rPr>
        <w:t>[Filed 7/25/07, Notice 6/6/07—published 8/15/07, effective 9/19/07]</w:t>
      </w:r>
    </w:p>
    <w:p>
      <w:pPr>
        <w:spacing w:before="0" w:after="0"/>
        <w:ind w:left="120"/>
        <w:jc w:val="center"/>
      </w:pPr>
      <w:r>
        <w:rPr>
          <w:rFonts w:ascii="Times New Roman" w:hAnsi="Times New Roman"/>
          <w:b w:val="false"/>
          <w:i w:val="false"/>
          <w:color w:val="000000"/>
          <w:sz w:val="21"/>
        </w:rPr>
        <w:t>[Filed 11/29/07, Notice 8/15/07—published 12/19/07, effective 1/23/08]</w:t>
      </w:r>
    </w:p>
    <w:p>
      <w:pPr>
        <w:spacing w:before="0" w:after="0"/>
        <w:ind w:left="120"/>
        <w:jc w:val="center"/>
      </w:pPr>
      <w:r>
        <w:rPr>
          <w:rFonts w:ascii="Times New Roman" w:hAnsi="Times New Roman"/>
          <w:b w:val="false"/>
          <w:i w:val="false"/>
          <w:color w:val="000000"/>
          <w:sz w:val="21"/>
        </w:rPr>
        <w:t>[Filed ARC 9805B</w:t>
      </w:r>
      <w:r>
        <w:rPr>
          <w:rFonts w:ascii="Times New Roman" w:hAnsi="Times New Roman"/>
          <w:b w:val="false"/>
          <w:i w:val="false"/>
          <w:color w:val="000000"/>
          <w:sz w:val="21"/>
        </w:rPr>
        <w:t xml:space="preserve"> (Notice ARC 9567B, IAB 6/29/11)</w:t>
      </w:r>
      <w:r>
        <w:rPr>
          <w:rFonts w:ascii="Times New Roman" w:hAnsi="Times New Roman"/>
          <w:b w:val="false"/>
          <w:i w:val="false"/>
          <w:color w:val="000000"/>
          <w:sz w:val="21"/>
        </w:rPr>
        <w:t>, IAB 10/19/11, effective 11/23/11]</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r>
        <w:br/>
      </w:r>
      <w:r>
        <w:rPr>
          <w:rFonts w:ascii="Times New Roman" w:hAnsi="Times New Roman"/>
          <w:b w:val="false"/>
          <w:i w:val="false"/>
          <w:color w:val="000000"/>
          <w:sz w:val="21"/>
        </w:rPr>
        <w:t>[Filed ARC 0363C</w:t>
      </w:r>
      <w:r>
        <w:rPr>
          <w:rFonts w:ascii="Times New Roman" w:hAnsi="Times New Roman"/>
          <w:b w:val="false"/>
          <w:i w:val="false"/>
          <w:color w:val="000000"/>
          <w:sz w:val="21"/>
        </w:rPr>
        <w:t xml:space="preserve"> (Notice ARC 0159C,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0684C</w:t>
      </w:r>
      <w:r>
        <w:rPr>
          <w:rFonts w:ascii="Times New Roman" w:hAnsi="Times New Roman"/>
          <w:b w:val="false"/>
          <w:i w:val="false"/>
          <w:color w:val="000000"/>
          <w:sz w:val="21"/>
        </w:rPr>
        <w:t xml:space="preserve"> (Notice ARC 0530C, IAB 12/12/12)</w:t>
      </w:r>
      <w:r>
        <w:rPr>
          <w:rFonts w:ascii="Times New Roman" w:hAnsi="Times New Roman"/>
          <w:b w:val="false"/>
          <w:i w:val="false"/>
          <w:color w:val="000000"/>
          <w:sz w:val="21"/>
        </w:rPr>
        <w:t>, IAB 4/17/13, effective 5/22/13]</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5564C</w:t>
      </w:r>
      <w:r>
        <w:rPr>
          <w:rFonts w:ascii="Times New Roman" w:hAnsi="Times New Roman"/>
          <w:b w:val="false"/>
          <w:i w:val="false"/>
          <w:color w:val="000000"/>
          <w:sz w:val="21"/>
        </w:rPr>
        <w:t xml:space="preserve"> (Notice ARC 5356C,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7668C</w:t>
      </w:r>
      <w:r>
        <w:rPr>
          <w:rFonts w:ascii="Times New Roman" w:hAnsi="Times New Roman"/>
          <w:b w:val="false"/>
          <w:i w:val="false"/>
          <w:color w:val="000000"/>
          <w:sz w:val="21"/>
        </w:rPr>
        <w:t xml:space="preserve"> (Notice ARC 7408C,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1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B.14.pdf" Type="http://schemas.openxmlformats.org/officeDocument/2006/relationships/hyperlink" Id="rId5"/>
    <Relationship TargetMode="External" Target="https://www.legis.iowa.gov/docs/ico/chapter/542B.14.pdf" Type="http://schemas.openxmlformats.org/officeDocument/2006/relationships/hyperlink" Id="rId6"/>
    <Relationship TargetMode="External" Target="https://www.legis.iowa.gov/docs/iac/rule/481.1049.1.pdf" Type="http://schemas.openxmlformats.org/officeDocument/2006/relationships/hyperlink" Id="rId7"/>
    <Relationship TargetMode="External" Target="https://www.legis.iowa.gov/docs/ico/chapter/542B.14.pdf" Type="http://schemas.openxmlformats.org/officeDocument/2006/relationships/hyperlink" Id="rId8"/>
    <Relationship TargetMode="External" Target="https://www.legis.iowa.gov/docs/ico/chapter/542B.14.pdf" Type="http://schemas.openxmlformats.org/officeDocument/2006/relationships/hyperlink" Id="rId9"/>
    <Relationship TargetMode="External" Target="https://www.legis.iowa.gov/docs/iac/rule/481.1049.1.pdf" Type="http://schemas.openxmlformats.org/officeDocument/2006/relationships/hyperlink" Id="rId10"/>
    <Relationship TargetMode="External" Target="https://www.legis.iowa.gov/docs/ico/chapter/546.10.pdf" Type="http://schemas.openxmlformats.org/officeDocument/2006/relationships/hyperlink" Id="rId11"/>
    <Relationship TargetMode="External" Target="https://www.legis.iowa.gov/docs/iac/rule/481.501.4.pdf" Type="http://schemas.openxmlformats.org/officeDocument/2006/relationships/hyperlink" Id="rId12"/>
    <Relationship TargetMode="External" Target="https://www.legis.iowa.gov/docs/ico/chapter/272C.12.pdf" Type="http://schemas.openxmlformats.org/officeDocument/2006/relationships/hyperlink" Id="rId13"/>
    <Relationship TargetMode="External" Target="https://www.legis.iowa.gov/docs/ico/chapter/542B.2.pdf" Type="http://schemas.openxmlformats.org/officeDocument/2006/relationships/hyperlink" Id="rId14"/>
    <Relationship TargetMode="External" Target="https://www.legis.iowa.gov/docs/ico/chapter/542B.13.pdf" Type="http://schemas.openxmlformats.org/officeDocument/2006/relationships/hyperlink" Id="rId15"/>
    <Relationship TargetMode="External" Target="https://www.legis.iowa.gov/docs/ico/chapter/542B.14.pdf" Type="http://schemas.openxmlformats.org/officeDocument/2006/relationships/hyperlink" Id="rId16"/>
    <Relationship TargetMode="External" Target="https://www.legis.iowa.gov/docs/ico/chapter/542B.15.pdf" Type="http://schemas.openxmlformats.org/officeDocument/2006/relationships/hyperlink" Id="rId17"/>
    <Relationship TargetMode="External" Target="https://www.legis.iowa.gov/docs/ico/chapter/542B.20.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