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1048</w:t>
      </w:r>
    </w:p>
    <w:p>
      <w:pPr>
        <w:spacing w:before="0" w:after="0"/>
        <w:ind w:left="120"/>
        <w:jc w:val="center"/>
      </w:pPr>
      <w:r>
        <w:rPr>
          <w:rFonts w:ascii="Times New Roman" w:hAnsi="Times New Roman"/>
          <w:b w:val="false"/>
          <w:i w:val="false"/>
          <w:color w:val="000000"/>
          <w:sz w:val="21"/>
        </w:rPr>
        <w:t>ENGINEERING LICENSURE</w:t>
      </w:r>
    </w:p>
    <w:p>
      <w:pPr>
        <w:spacing w:before="0" w:after="0"/>
        <w:ind w:left="120"/>
        <w:jc w:val="center"/>
      </w:pPr>
      <w:r>
        <w:rPr>
          <w:rFonts w:ascii="Times New Roman" w:hAnsi="Times New Roman"/>
          <w:b w:val="false"/>
          <w:i w:val="false"/>
          <w:color w:val="000000"/>
          <w:sz w:val="20"/>
        </w:rPr>
        <w:t>[Prior to 11/14/01, see 193C—1.4(542B)]</w:t>
      </w:r>
    </w:p>
    <w:p>
      <w:pPr>
        <w:spacing w:before="0" w:after="0"/>
        <w:ind w:left="120"/>
        <w:jc w:val="center"/>
      </w:pPr>
      <w:r>
        <w:rPr>
          <w:rFonts w:ascii="Times New Roman" w:hAnsi="Times New Roman"/>
          <w:b w:val="false"/>
          <w:i w:val="false"/>
          <w:color w:val="000000"/>
          <w:sz w:val="20"/>
        </w:rPr>
        <w:t>[Prior to 6/24/26, see Engineering and Land Surveying Examining Board[193C]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481—1048.1</w:t>
      </w:r>
      <w:r>
        <w:rPr>
          <w:rFonts w:ascii="Times New Roman" w:hAnsi="Times New Roman"/>
          <w:b/>
          <w:i w:val="false"/>
          <w:color w:val="000000"/>
          <w:sz w:val="22"/>
        </w:rPr>
        <w:t xml:space="preserve">(542B) </w:t>
      </w:r>
      <w:r>
        <w:rPr>
          <w:rFonts w:ascii="Times New Roman" w:hAnsi="Times New Roman"/>
          <w:b/>
          <w:i w:val="false"/>
          <w:color w:val="000000"/>
          <w:sz w:val="22"/>
        </w:rPr>
        <w:t xml:space="preserve">Licensure by examination. </w:t>
      </w:r>
      <w:r>
        <w:rPr>
          <w:rFonts w:ascii="Times New Roman" w:hAnsi="Times New Roman"/>
          <w:b w:val="false"/>
          <w:i w:val="false"/>
          <w:color w:val="000000"/>
          <w:sz w:val="22"/>
        </w:rPr>
        <w:t xml:space="preserve">The board will issue initial licensure only when an applicant satisfies the provisions of Iowa Code section </w:t>
      </w:r>
      <w:hyperlink r:id="rId5">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1048.1(1)</w:t>
      </w:r>
      <w:r>
        <w:rPr>
          <w:rFonts w:ascii="Times New Roman" w:hAnsi="Times New Roman"/>
          <w:b w:val="false"/>
          <w:i w:val="false"/>
          <w:color w:val="000000"/>
          <w:sz w:val="22"/>
        </w:rPr>
        <w:t> </w:t>
      </w:r>
      <w:r>
        <w:rPr>
          <w:rFonts w:ascii="Times New Roman" w:hAnsi="Times New Roman"/>
          <w:b w:val="false"/>
          <w:i w:val="false"/>
          <w:color w:val="000000"/>
          <w:sz w:val="22"/>
        </w:rPr>
        <w:t>An applicant is eligible for the Engineer in Training certificate by meeting one of the following educational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graduates from an engineering program of four years or more with an Accreditation Board of Engineering and Technology/Engineering Accreditation Commission (ABET/EAC)- or Canadian Engineering Accreditation Board (CEAB)-accredited curriculum. An engineering technology curriculum does not constitute an engineering program of four years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graduation from a nonaccredited engineering program of four years or more as described above, the applicant will complete one extra year of practical experience satisfactory to the board, verified by a professional engineer (PE) supervisory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graduates with a master’s degree in engineering from an institution in the United States of America that offers an accredited bachelor’s degree in the same curriculum. The master’s degree or a doctor of philosophy degree candidate must fulfill the requirements for the bachelor’s degree in the same area of specialization.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with a master’s degree or a doctor of philosophy degree in engineering from an institution in the United States of America that does not offer an accredited bachelor’s degree in the same curriculum will be required to have an additional year of qualifying experience obtained after receipt of the qualifying degree. Applicants using a master’s degree or a doctor of philosophy degree as the qualifying degree may not also use the master’s degree or a doctor of philosophy degree for qualifying experience credit or as an exemption for the Fundamentals of Engineering examination (FE exam).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1048.1(2)</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take the FE exam any time after the educational requirements as specified above are completed, but the applicant must successfully complete the FE exam prior to taking the Principles and Practice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College seniors studying an ABET/EAC- or CEAB-accredited curriculum may take the FE exam during the final academic year. Applicants will be permitted to take the examination during the testing period that most closely precedes anticipated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satisfactory engineering program and has ten years or more of work experience satisfactory to the board is not required to take the FE exam. This experience is in addition to the four or five years of experience necessary for the PE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who has earned a Doctor of Philosophy degree from an institution in the United States of America with an accredited Bachelor of Science engineering degree program in the same discipline, or a similar doctoral degree in a discipline approved by the board, is not required to take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 exam candidates will apply directly to the National Council of Examiners for Engineering and Surveying (NCEES) and will self-attest as to the candidate’s eligibility to sit for the FE exam. The board will verify acceptable education and experience at the time an applicant applies for an Engineer in Training (EIT) number. The board shall apply the education and experience standards set forth in this rule but may allow reasonable flexibility in timing in the event an applicant sat for and passed the FE exam at a point earlier than provided in this rule. The board will not, however, issue an EIT number unless all experience required for candidates who hold engineering degrees from nonaccredited programs has been satisfied at the time of the EIT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1048.1(3)</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Principles and Practice of Engineering examination (PE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take the PE exam any time after passing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 exam candidates will apply directly to the NCEES. The applicant will document a qualifying education. The board will verify acceptable experience at the time the applicant applies for a professional engineer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obtains satisfactory practical experience in engineering work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Oversight. </w:t>
      </w:r>
      <w:r>
        <w:rPr>
          <w:rFonts w:ascii="Times New Roman" w:hAnsi="Times New Roman"/>
          <w:b w:val="false"/>
          <w:i w:val="false"/>
          <w:color w:val="000000"/>
          <w:sz w:val="22"/>
        </w:rPr>
        <w:t xml:space="preserve">An applicant has direct supervision or professional tutelage (instruction, guidance, mentoring, review, and critique) from one or more licensed professional engineers. This experience will be verified by one or more licensed professional engineers who are familiar with the applicant’s work and can attest that the experience was of the required quality and was accurately described. Verification of the qualifying experience is provided through the reference forms. It is the responsibility of the applicant to provide reference forms to the licensed professional engineers to complete and return directly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readily acceptable, all of the practical experience is under the direct supervision and tutelage of one or more licensed professional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be considered, a portion of the qualifying experience is under the direct supervision or tutelage of one or more licensed professional engineers, and the rest of the practical experience is under the direct supervision or tutelage of an unlicensed graduate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experience. </w:t>
      </w:r>
      <w:r>
        <w:rPr>
          <w:rFonts w:ascii="Times New Roman" w:hAnsi="Times New Roman"/>
          <w:b w:val="false"/>
          <w:i w:val="false"/>
          <w:color w:val="000000"/>
          <w:sz w:val="22"/>
        </w:rPr>
        <w:t>An applicant submits references and a work project description. The board reserves the right to contact the employer and the person providing tutelage on the project for information about the project experience acquired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References. An applicant for the professional engineer license shall submit three references from professional engineers or a combination of professional engineers and graduate engineers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practical experience provided under the direct supervision or professional tutelage of the licensed professional engineers in the course of a mentoring relationship must include technical skills; professional development; the exercise of professional judgment, ethics, and standards in the application of engineering principles and in the review of such matters by others; and the professional obligations of assuming responsible charge of professional engineering works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has had more than one supervisor, at least two of the references shall be from a supervisor of the applicant. An applicant shall submit supervisor references to verify at least four years of qualifying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had professional experience under more than one employer, the applicant shall provide references from individuals with knowledge of the work performed under a minimum of two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reserves the right to contact references, supervisors, or employers for information about the applicant’s professional experience and competence or to request additional 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uses references partially as a means of verifying an applicant’s record of experience. The applicant must distribute a reference form to individuals who are asked to submit references for the applicant. To each reference form, the applicant shall attach a narrative of the applicant’s experience record that is being addressed by the referring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board may require the applicant to submit other evidence of suitable tutelage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board may conduct interviews with persons providing tutelage or supervision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Work project description. An application for initial licensure includes a work project statement describing a significant project on which the applicant worked during the previous 12 months. The board will review all work project statements and will approve only those that include all of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of the applicant’s degree of responsibility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project’s owner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supervisor in charge of the project and, if the supervisor is a professional engineer, the license number of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and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Criteria the board uses in evaluating the acceptability of the project as qualifying experience for the applicant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project and the experience described have progressed from assignments typical of initial assignments to those more nearly expected of a licensed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scope and quality of the professional tutelage experienced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technical decisions required of the applicant in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professional decisions required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An applicant has experience that demonstrates that the applicant has developed technical skill and initiative in the correct application of engineering principles. Such experience should demonstrate the applicant’s capacity to review the application of these principles by others and to assume responsibility for engineering work of professional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applicant has experience that includes sufficient breadth and scope to ensure that the applicant has attained reasonably well-rounded professional competence in a basic engineering field, rather than highly specialized skill in a narrow and limited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Progression. </w:t>
      </w:r>
      <w:r>
        <w:rPr>
          <w:rFonts w:ascii="Times New Roman" w:hAnsi="Times New Roman"/>
          <w:b w:val="false"/>
          <w:i w:val="false"/>
          <w:color w:val="000000"/>
          <w:sz w:val="22"/>
        </w:rPr>
        <w:t xml:space="preserve">The record of experience indicates successive and continued progress from initial, subprofessional work of simpler character to recent, professional work of greater complexity and a higher degree of responsibility, as well as continued interest and effort on the part of the applicant toward further professional development and advancement. In evaluating this progression, the board will consider both subprofessional and professional activity as reported by the applicant. However, only work experience obtained after the applicant’s receipt of the qualifying degree will be considered, except as described in paragraph </w:t>
      </w:r>
      <w:hyperlink r:id="rId6">
        <w:r>
          <w:rPr>
            <w:rStyle w:val="Hyperlink"/>
            <w:rFonts w:ascii="Times New Roman" w:hAnsi="Times New Roman"/>
            <w:b w:val="false"/>
            <w:i w:val="false"/>
            <w:color w:val="000000"/>
            <w:sz w:val="22"/>
          </w:rPr>
          <w:t>1048.1(4)</w:t>
        </w:r>
      </w:hyperlink>
      <w:r>
        <w:rPr>
          <w:rFonts w:ascii="Times New Roman" w:hAnsi="Times New Roman"/>
          <w:b w:val="false"/>
          <w:i/>
          <w:color w:val="000000"/>
          <w:sz w:val="22"/>
        </w:rPr>
        <w:t>“f.”</w:t>
      </w:r>
      <w:r>
        <w:rPr>
          <w:rFonts w:ascii="Times New Roman" w:hAnsi="Times New Roman"/>
          <w:b w:val="false"/>
          <w:i w:val="false"/>
          <w:color w:val="000000"/>
          <w:sz w:val="22"/>
        </w:rPr>
        <w:t xml:space="preserve"> Subprofessional work includes the time spent as an engineering technician, engineering assistant, inspector, or similar under the direct supervision of a licensed professional engineer. Professional work includes the time during which the applicant was occupied in engineering work of higher grade and responsibility than that defined above as subprofessional work. Time spent in teaching engineering subjects in a college or university at the level of assistant professor or higher may be listed as professional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Special work experience. </w:t>
      </w:r>
      <w:r>
        <w:rPr>
          <w:rFonts w:ascii="Times New Roman" w:hAnsi="Times New Roman"/>
          <w:b w:val="false"/>
          <w:i w:val="false"/>
          <w:color w:val="000000"/>
          <w:sz w:val="22"/>
        </w:rPr>
        <w:t>Work experience prior to graduation from college may be accepted toward satisfaction of practical experience only as follows: Cooperative work programs and internships administered by engineering colleges and verified on the transcript, with a verifying reference from the internship supervisor, will be considered as half-time credit, with a maximum allowance of 6 months (12 months of cooperative work experience or internship) applicable toward the satisfaction of qualifying experience requirements. An applicant’s advanced education, military experience, or both will be reviewed in order to determine if they are applicable toward the statutory requirements for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Advanced education. </w:t>
      </w:r>
      <w:r>
        <w:rPr>
          <w:rFonts w:ascii="Times New Roman" w:hAnsi="Times New Roman"/>
          <w:b w:val="false"/>
          <w:i w:val="false"/>
          <w:color w:val="000000"/>
          <w:sz w:val="22"/>
        </w:rPr>
        <w:t>An applicant who has earned a master of science degree that includes research experience, in addition to writing an associated thesis, from an institution in the United States of America with an accredited bachelor of science engineering degree program in the same discipline and who has fulfilled the requirements for a bachelor of science degree may be granted a maximum of one year’s experience credit. An applicant who has earned a doctor of philosophy degree from an institution in the United States of America with an accredited bachelor of science engineering degree program in the same discipline may be granted a maximum of two years of experience credit in addition to the one-half year’s credit for the master of science degree. An applicant using an advanced degree as experience credit may not also use the advanced degree as the qualifying degree to become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Teaching experience. </w:t>
      </w:r>
      <w:r>
        <w:rPr>
          <w:rFonts w:ascii="Times New Roman" w:hAnsi="Times New Roman"/>
          <w:b w:val="false"/>
          <w:i w:val="false"/>
          <w:color w:val="000000"/>
          <w:sz w:val="22"/>
        </w:rPr>
        <w:t>Teaching of engineering subjects at the level of assistant professor or higher in an accredited engineering program may be considered as experience, provided the applicant’s immediate supervisor is a licensed professional engineer in the jurisdiction in which the college or university is located. If the applicant’s immediate supervisor is not a licensed professional engineer, a program of mentoring or peer review by a licensed professional engineer acceptable to the board must be demonstrated. Applicants using teaching or research as experience must have a minimum of four years of acceptable experience in research, industry, or consulting. The board will consider the complexity of the project(s) presented, the degree of responsibility of the applicant within the project, and other factors the board deems relevant. Academic experience must demonstrate increasing levels of responsibility for the conduct and management of projects involving engineering research, development, or application. The board reserves the right to contact employers for information about the applicant’s professional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Applicants requesting licensure both as a professional engineer and a land surveyor must submit a history of professional experience in both fields. Such histories will be considered separately on a case-by-case basis. The board does not grant full credit for concurrent experience in both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Corporate exemption. </w:t>
      </w:r>
      <w:r>
        <w:rPr>
          <w:rFonts w:ascii="Times New Roman" w:hAnsi="Times New Roman"/>
          <w:b w:val="false"/>
          <w:i w:val="false"/>
          <w:color w:val="000000"/>
          <w:sz w:val="22"/>
        </w:rPr>
        <w:t xml:space="preserve">The purpose of the provisions on qualifying experience that authorize the board to consider some experience that was not acquired under the direct supervision and tutelage of a licensed professional engineer is to provide a path toward licensure for those applicants who gain experience in settings where licensure is not required under the corporate exemption set forth in Iowa Code section </w:t>
      </w:r>
      <w:hyperlink r:id="rId7">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xml:space="preserve"> or under similar statutory provisions in other jurisdictions. Such applicants may lawfully gain professional engineering experience under the supervision or tutelage of graduate engineers who are not licensed. To aid such applicants, the following guidelines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will not consider any of the following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Experience gained under circumstances where the applicant could not lawfully have practiced professional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Experience attained in compliance with the law but that was not under the supervision or tutelage of a graduate engineer. The fundamental purpose of qualifying experience is professionally guided training to expand and complement engineering education. Self-guided experience does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Unlicensed graduate engineers are not authorized to offer professional engineering services to the public or to be in responsible charge of such services, nor are they subject to the examinations required for licensure, the professional and ethical standards applicable to licensees, or the regulatory oversight of a licensing authority. Qualifying experience is intended to address both technical competence and the obligations to the public of a 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Because the circumstances of individual applicants in corporate exemption settings are diverse, it is not possible to identify the minimum period of time during which the applicant must receive supervision or tutelage from one or more licensed professional engineers to be eligible for licensure. The board will evaluate both the quantity and quality of such experience. In general, an applicant’s exposure to supervision or tutelage by one or more licensed professional engineers should reflect a sustained period of in-depth interaction from which the licensed engineers are in a position to form credible opinions on the applicant’s qualifications to be in responsible charge of engineering services offered to the public as a 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burden is on the applicant to demonstrate to the board’s satisfaction that the combination of unlicensed and licensed supervision and tutelage satisfies the requirements of qualifying experience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Practical experience. </w:t>
      </w:r>
      <w:r>
        <w:rPr>
          <w:rFonts w:ascii="Times New Roman" w:hAnsi="Times New Roman"/>
          <w:b w:val="false"/>
          <w:i w:val="false"/>
          <w:color w:val="000000"/>
          <w:sz w:val="22"/>
        </w:rPr>
        <w:t>An applicant for a professional engineer license shall have a minimum of one year of practical experience in the United States of America or a territory under its jurisdiction.</w:t>
      </w:r>
    </w:p>
    <w:p>
      <w:pPr>
        <w:spacing w:before="0" w:after="0"/>
        <w:ind w:left="120"/>
        <w:jc w:val="both"/>
      </w:pPr>
      <w:r>
        <w:rPr>
          <w:rFonts w:ascii="Times New Roman" w:hAnsi="Times New Roman"/>
          <w:b/>
          <w:i w:val="false"/>
          <w:color w:val="000000"/>
          <w:sz w:val="22"/>
        </w:rPr>
        <w:t>1048.1(5)</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requirements. The board will require the minimum number of years set forth on the following chart before an applicant will be eligible for licensure.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76"/>
        <w:gridCol w:w="4476"/>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Experience Requirements</w:t>
            </w:r>
          </w:p>
        </w:tc>
      </w:tr>
      <w:tr>
        <w:trPr>
          <w:trHeight w:val="195"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If the education is:</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 years of experience</w:t>
            </w:r>
          </w:p>
        </w:tc>
      </w:tr>
      <w:tr>
        <w:trPr>
          <w:trHeight w:val="360"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four-year bachelor’s degree in a nonaccredited engineering program</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r>
      <w:tr>
        <w:trPr>
          <w:trHeight w:val="675"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OR a qualifying master’s degree pursuant to paragraph </w:t>
            </w:r>
            <w:hyperlink r:id="rId8">
              <w:r>
                <w:rPr>
                  <w:rStyle w:val="Hyperlink"/>
                  <w:rFonts w:ascii="Times New Roman" w:hAnsi="Times New Roman"/>
                  <w:b w:val="false"/>
                  <w:i w:val="false"/>
                  <w:color w:val="000000"/>
                  <w:sz w:val="14"/>
                </w:rPr>
                <w:t>1048.1(1)</w:t>
              </w:r>
            </w:hyperlink>
            <w:r>
              <w:rPr>
                <w:rFonts w:ascii="Times New Roman" w:hAnsi="Times New Roman"/>
                <w:b w:val="false"/>
                <w:i/>
                <w:color w:val="000000"/>
                <w:sz w:val="14"/>
              </w:rPr>
              <w:t>“c”</w:t>
            </w:r>
            <w:r>
              <w:rPr>
                <w:rFonts w:ascii="Times New Roman" w:hAnsi="Times New Roman"/>
                <w:b w:val="false"/>
                <w:i w:val="false"/>
                <w:color w:val="000000"/>
                <w:sz w:val="14"/>
              </w:rPr>
              <w:t xml:space="preserve"> OR a qualifying PhD pursuant to paragraph </w:t>
            </w:r>
            <w:hyperlink r:id="rId9">
              <w:r>
                <w:rPr>
                  <w:rStyle w:val="Hyperlink"/>
                  <w:rFonts w:ascii="Times New Roman" w:hAnsi="Times New Roman"/>
                  <w:b w:val="false"/>
                  <w:i w:val="false"/>
                  <w:color w:val="000000"/>
                  <w:sz w:val="14"/>
                </w:rPr>
                <w:t>1048.1(1)</w:t>
              </w:r>
            </w:hyperlink>
            <w:r>
              <w:rPr>
                <w:rFonts w:ascii="Times New Roman" w:hAnsi="Times New Roman"/>
                <w:b w:val="false"/>
                <w:i/>
                <w:color w:val="000000"/>
                <w:sz w:val="14"/>
              </w:rPr>
              <w:t>“d”</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r>
      <w:tr>
        <w:trPr>
          <w:trHeight w:val="510"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AND a qualifying master’s degree pursuant to paragraph </w:t>
            </w:r>
            <w:hyperlink r:id="rId10">
              <w:r>
                <w:rPr>
                  <w:rStyle w:val="Hyperlink"/>
                  <w:rFonts w:ascii="Times New Roman" w:hAnsi="Times New Roman"/>
                  <w:b w:val="false"/>
                  <w:i w:val="false"/>
                  <w:color w:val="000000"/>
                  <w:sz w:val="14"/>
                </w:rPr>
                <w:t>1048.1(4)</w:t>
              </w:r>
            </w:hyperlink>
            <w:r>
              <w:rPr>
                <w:rFonts w:ascii="Times New Roman" w:hAnsi="Times New Roman"/>
                <w:b w:val="false"/>
                <w:i/>
                <w:color w:val="000000"/>
                <w:sz w:val="14"/>
              </w:rPr>
              <w:t>“g”</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r>
      <w:tr>
        <w:trPr>
          <w:trHeight w:val="510"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AND a qualifying PhD pursuant to paragraph </w:t>
            </w:r>
            <w:hyperlink r:id="rId11">
              <w:r>
                <w:rPr>
                  <w:rStyle w:val="Hyperlink"/>
                  <w:rFonts w:ascii="Times New Roman" w:hAnsi="Times New Roman"/>
                  <w:b w:val="false"/>
                  <w:i w:val="false"/>
                  <w:color w:val="000000"/>
                  <w:sz w:val="14"/>
                </w:rPr>
                <w:t>1048.1(4)</w:t>
              </w:r>
            </w:hyperlink>
            <w:r>
              <w:rPr>
                <w:rFonts w:ascii="Times New Roman" w:hAnsi="Times New Roman"/>
                <w:b w:val="false"/>
                <w:i/>
                <w:color w:val="000000"/>
                <w:sz w:val="14"/>
              </w:rPr>
              <w:t>“g”</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r>
      <w:tr>
        <w:trPr>
          <w:trHeight w:val="66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AND a qualifying master’s degree AND a qualifying PhD pursuant to paragraph </w:t>
            </w:r>
            <w:hyperlink r:id="rId12">
              <w:r>
                <w:rPr>
                  <w:rStyle w:val="Hyperlink"/>
                  <w:rFonts w:ascii="Times New Roman" w:hAnsi="Times New Roman"/>
                  <w:b w:val="false"/>
                  <w:i w:val="false"/>
                  <w:color w:val="000000"/>
                  <w:sz w:val="14"/>
                </w:rPr>
                <w:t>1048.1(4)</w:t>
              </w:r>
            </w:hyperlink>
            <w:r>
              <w:rPr>
                <w:rFonts w:ascii="Times New Roman" w:hAnsi="Times New Roman"/>
                <w:b w:val="false"/>
                <w:i/>
                <w:color w:val="000000"/>
                <w:sz w:val="14"/>
              </w:rPr>
              <w:t>“g”</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1048.1(6)</w:t>
      </w:r>
      <w:r>
        <w:rPr>
          <w:rFonts w:ascii="Times New Roman" w:hAnsi="Times New Roman"/>
          <w:b w:val="false"/>
          <w:i w:val="false"/>
          <w:color w:val="000000"/>
          <w:sz w:val="22"/>
        </w:rPr>
        <w:t> </w:t>
      </w:r>
      <w:r>
        <w:rPr>
          <w:rFonts w:ascii="Times New Roman" w:hAnsi="Times New Roman"/>
          <w:b w:val="false"/>
          <w:i w:val="false"/>
          <w:color w:val="000000"/>
          <w:sz w:val="22"/>
        </w:rPr>
        <w:t>Required examinations. All examinations are uniform examinations prepared and graded by the NCEES. The board may negotiate an agreement with an examination service to administer the examinations to applicants approved by the board, in which case applicants shall pay examination fees directly to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Engineering examination. </w:t>
      </w:r>
      <w:r>
        <w:rPr>
          <w:rFonts w:ascii="Times New Roman" w:hAnsi="Times New Roman"/>
          <w:b w:val="false"/>
          <w:i w:val="false"/>
          <w:color w:val="000000"/>
          <w:sz w:val="22"/>
        </w:rPr>
        <w:t>The Fundamentals of Engineering examination is a computer-based examination covering general engineering principles and other subjects commonly taught in accredited engineering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Engineering examination. </w:t>
      </w:r>
      <w:r>
        <w:rPr>
          <w:rFonts w:ascii="Times New Roman" w:hAnsi="Times New Roman"/>
          <w:b w:val="false"/>
          <w:i w:val="false"/>
          <w:color w:val="000000"/>
          <w:sz w:val="22"/>
        </w:rPr>
        <w:t>A separate examination is required for each branch in which licensure is granted. An applicant may obtain a Principles and Practice of Engineering Civil (Structural) branch license by passing either the Structural examination or the Principles and Practice of Engineering Structural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during the examination. </w:t>
      </w:r>
      <w:r>
        <w:rPr>
          <w:rFonts w:ascii="Times New Roman" w:hAnsi="Times New Roman"/>
          <w:b w:val="false"/>
          <w:i w:val="false"/>
          <w:color w:val="000000"/>
          <w:sz w:val="22"/>
        </w:rPr>
        <w:t xml:space="preserve">Examinees will comply with the testing rules and regulations of the examination administrator.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481—1048.2</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comity. </w:t>
      </w:r>
      <w:r>
        <w:rPr>
          <w:rFonts w:ascii="Times New Roman" w:hAnsi="Times New Roman"/>
          <w:b w:val="false"/>
          <w:i w:val="false"/>
          <w:color w:val="000000"/>
          <w:sz w:val="22"/>
        </w:rPr>
        <w:t xml:space="preserve">A person holding a certificate of licensure to engage in the practice of engineering issued by a proper authority of a jurisdiction or possession of the United States, the District of Columbia, or any foreign country, based on requirements that do not conflict with the provisions of Iowa Code section </w:t>
      </w:r>
      <w:hyperlink r:id="rId13">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who has met standards determined by the board to be substantially equivalent to those required of applicants for initial licensure in this state may, upon application, be licensed without further examination. Comity applicants are governed by the same standards as are required of applicants for initial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1048.2(1)</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 xml:space="preserve">An applicant for licensure by comity shall submit references on forms provided by the board to verify satisfactory engineering experience, as provided in paragraph </w:t>
      </w:r>
      <w:hyperlink r:id="rId14">
        <w:r>
          <w:rPr>
            <w:rStyle w:val="Hyperlink"/>
            <w:rFonts w:ascii="Times New Roman" w:hAnsi="Times New Roman"/>
            <w:b w:val="false"/>
            <w:i w:val="false"/>
            <w:color w:val="000000"/>
            <w:sz w:val="22"/>
          </w:rPr>
          <w:t>1048.1(4)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1048.2(2)</w:t>
      </w:r>
      <w:r>
        <w:rPr>
          <w:rFonts w:ascii="Times New Roman" w:hAnsi="Times New Roman"/>
          <w:b w:val="false"/>
          <w:i w:val="false"/>
          <w:color w:val="000000"/>
          <w:sz w:val="22"/>
        </w:rPr>
        <w:t> </w:t>
      </w:r>
      <w:r>
        <w:rPr>
          <w:rFonts w:ascii="Times New Roman" w:hAnsi="Times New Roman"/>
          <w:b w:val="false"/>
          <w:i/>
          <w:color w:val="000000"/>
          <w:sz w:val="22"/>
        </w:rPr>
        <w:t xml:space="preserve">Basis for evaluation of applications. </w:t>
      </w:r>
      <w:r>
        <w:rPr>
          <w:rFonts w:ascii="Times New Roman" w:hAnsi="Times New Roman"/>
          <w:b w:val="false"/>
          <w:i w:val="false"/>
          <w:color w:val="000000"/>
          <w:sz w:val="22"/>
        </w:rPr>
        <w:t>Applications for licensure by comity will be evaluated on the following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record of education, references, practical experience, and successful completion of approved examinations will be reviewed to determine if it currently satisfies the substantive requirements of Iowa Code section </w:t>
      </w:r>
      <w:hyperlink r:id="rId15">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In reviewing the education, references, and practical experience of comity applicants, the board will use the same criteria used by the board to determine the eligibility of a candidate for the Principles and Practice of Engineering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licensure in a jurisdiction other than Iowa will be reviewed to determine if it was granted only after satisfaction of requirements substantially equivalent to those that are required of applicants for initial licensure in Iowa under Iowa Code section </w:t>
      </w:r>
      <w:hyperlink r:id="rId16">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When determining whether the licensing standards satisfied by a comity applicant are substantially equivalent to those required in Iowa, the board considers each of the four licensing prerequisites in Iowa Code section </w:t>
      </w:r>
      <w:hyperlink r:id="rId17">
        <w:r>
          <w:rPr>
            <w:rStyle w:val="Hyperlink"/>
            <w:rFonts w:ascii="Times New Roman" w:hAnsi="Times New Roman"/>
            <w:b w:val="false"/>
            <w:i w:val="false"/>
            <w:color w:val="000000"/>
            <w:sz w:val="22"/>
          </w:rPr>
          <w:t>542B.14(1)</w:t>
        </w:r>
      </w:hyperlink>
      <w:r>
        <w:rPr>
          <w:rFonts w:ascii="Times New Roman" w:hAnsi="Times New Roman"/>
          <w:b w:val="false"/>
          <w:i w:val="false"/>
          <w:color w:val="000000"/>
          <w:sz w:val="22"/>
        </w:rPr>
        <w:t xml:space="preserve"> individually. The licensing standards are satisfied by the comity applicant if the standards are equal or superior to those required in Iowa for education, fundamentals examination, experience, and professional examination. Unless expressly stated in this chapter, the board will not consider an applicant’s superior satisfaction of one licensing prerequisite, such as a higher level of education than is required in Iowa, as resolving an applicant’s lack of compliance with another prerequisite, such as professional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1048.2(3)</w:t>
      </w:r>
      <w:r>
        <w:rPr>
          <w:rFonts w:ascii="Times New Roman" w:hAnsi="Times New Roman"/>
          <w:b w:val="false"/>
          <w:i w:val="false"/>
          <w:color w:val="000000"/>
          <w:sz w:val="22"/>
        </w:rPr>
        <w:t> </w:t>
      </w:r>
      <w:r>
        <w:rPr>
          <w:rFonts w:ascii="Times New Roman" w:hAnsi="Times New Roman"/>
          <w:b w:val="false"/>
          <w:i/>
          <w:color w:val="000000"/>
          <w:sz w:val="22"/>
        </w:rPr>
        <w:t xml:space="preserve">Comity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by comity from a jurisdiction other than Iowa meets or exceeds the education requirements set forth in Iowa Code section </w:t>
      </w:r>
      <w:hyperlink r:id="rId18">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subrule </w:t>
      </w:r>
      <w:hyperlink r:id="rId19">
        <w:r>
          <w:rPr>
            <w:rStyle w:val="Hyperlink"/>
            <w:rFonts w:ascii="Times New Roman" w:hAnsi="Times New Roman"/>
            <w:b w:val="false"/>
            <w:i w:val="false"/>
            <w:color w:val="000000"/>
            <w:sz w:val="22"/>
          </w:rPr>
          <w:t>1048.1(1)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Fundamentals of Engineering examination. An applicant who graduated from a satisfactory engineering program and who has ten years or more of work experience satisfactory to the board is not required to take the Fundamentals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successfully completes the Principles and Practice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satisfactory practical experience under paragraph </w:t>
      </w:r>
      <w:hyperlink r:id="rId20">
        <w:r>
          <w:rPr>
            <w:rStyle w:val="Hyperlink"/>
            <w:rFonts w:ascii="Times New Roman" w:hAnsi="Times New Roman"/>
            <w:b w:val="false"/>
            <w:i w:val="false"/>
            <w:color w:val="000000"/>
            <w:sz w:val="22"/>
          </w:rPr>
          <w:t>1048.1(3)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While the board will consider evidence presented by a comity applicant on non-NCEES examinations successfully completed in a foreign country, the non-NCEES examination will be compared with the appropriate NCEES examination. A non-NCEES professional examination, for instance, must be designed to determine whether a candidate is minimally competent to practice professional engineering in a specific branch of engineering, such as civil, structural, electrical, or mechanical engineering. The examination must be written, objectively graded, verifiable, and developed and validated in accordance with the testing standards of the American Psychological Association or equivalent testing standards. Free-form essays and oral interviews are not equal or superior to NCEES examinations.</w:t>
      </w:r>
    </w:p>
    <w:p>
      <w:pPr>
        <w:spacing w:before="0" w:after="0"/>
        <w:ind w:left="120"/>
        <w:jc w:val="both"/>
      </w:pPr>
      <w:r>
        <w:rPr>
          <w:rFonts w:ascii="Times New Roman" w:hAnsi="Times New Roman"/>
          <w:b/>
          <w:i w:val="false"/>
          <w:color w:val="000000"/>
          <w:sz w:val="22"/>
        </w:rPr>
        <w:t>1048.2(4)</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who were originally licensed in a jurisdiction other than Iowa prior to July 1, 1988, the board will employ the following chart to determine if the applicant’s licensure was granted after satisfaction of requirements substantially equivalent to those that were required by Iowa Code section </w:t>
      </w:r>
      <w:hyperlink r:id="rId21">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at the time of the applicant’s original licensure. Column 1 indicates the years of practical experience that were required prior to the Fundamentals of Engineering examination in addition to the completion of the required educational level. To determine the total years of practical experience that were required prior to taking the Principles and Practice of Engineering examination, column 2 is added to column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297"/>
        <w:gridCol w:w="2167"/>
        <w:gridCol w:w="2359"/>
      </w:tblGrid>
      <w:tr>
        <w:trPr>
          <w:trHeight w:val="360" w:hRule="atLeast"/>
        </w:trPr>
        <w:tc>
          <w:tcPr>
            <w:tcW w:w="0" w:type="auto"/>
            <w:gridSpan w:val="3"/>
            <w:tcBorders>
              <w:bottom w:val="single" w:color="000000" w:sz="8"/>
            </w:tcBorders>
            <w:tcMar>
              <w:top w:w="30" w:type="dxa"/>
              <w:left w:w="30" w:type="dxa"/>
              <w:bottom w:w="15" w:type="dxa"/>
              <w:right w:w="30" w:type="dxa"/>
            </w:tcMar>
            <w:vAlign w:val="center"/>
          </w:tcPr>
          <w:p>
            <w:pPr>
              <w:spacing w:before="0" w:after="0" w:line="264"/>
              <w:ind w:left="160"/>
              <w:jc w:val="center"/>
            </w:pPr>
            <w:r>
              <w:rPr>
                <w:rFonts w:ascii="Times New Roman" w:hAnsi="Times New Roman"/>
                <w:b w:val="false"/>
                <w:i w:val="false"/>
                <w:color w:val="000000"/>
                <w:sz w:val="14"/>
              </w:rPr>
              <w:t>EXPERIENCE REQUIREMENTS FOR COMITY APPLICANTS</w:t>
            </w:r>
          </w:p>
          <w:p>
            <w:pPr>
              <w:spacing w:before="0" w:after="0" w:line="264"/>
              <w:ind w:left="160"/>
              <w:jc w:val="center"/>
            </w:pPr>
            <w:r>
              <w:rPr>
                <w:rFonts w:ascii="Times New Roman" w:hAnsi="Times New Roman"/>
                <w:b w:val="false"/>
                <w:i w:val="false"/>
                <w:color w:val="000000"/>
                <w:sz w:val="14"/>
              </w:rPr>
              <w:t>Who were licensed prior to July 1, 1988</w:t>
            </w:r>
          </w:p>
        </w:tc>
      </w:tr>
      <w:tr>
        <w:trPr>
          <w:trHeight w:val="1125" w:hRule="atLeast"/>
        </w:trPr>
        <w:tc>
          <w:tcPr>
            <w:tcW w:w="5297"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If the applicant’s educational level was:</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additional years of experience prior to taking the Fundamentals of Engineering examination:</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years of experience after receipt of the qualifying degree and prior to taking the Principles and Practice of Engineering examination:</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No post-high school education</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8</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mathematics or physical sciences</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One year</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BS degree in mathematics or physical sciences plus master’s degree in engineering</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engineering technology programs and architecture</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One year</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 nonaccredited engineering technology program or BA in architecture</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an accredited engineering technology program</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Bachelor of architecture, four years or more</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engineering technology or architecture plus master’s degree in engineering</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a nonaccredited engineering program</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One year</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7</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 nonaccredited engineering program plus master’s degree in engineering</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Postsecondary study in an accredited engineering program</w:t>
            </w:r>
          </w:p>
        </w:tc>
        <w:tc>
          <w:tcPr>
            <w:tcW w:w="216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5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6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5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97" w:type="dxa"/>
            <w:tcBorders>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Four-year degree in an accredited engineering program</w:t>
            </w:r>
          </w:p>
        </w:tc>
        <w:tc>
          <w:tcPr>
            <w:tcW w:w="2167"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59"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who were originally licensed in another jurisdiction and who meet the requirements of Iowa Code section </w:t>
      </w:r>
      <w:hyperlink r:id="rId22">
        <w:r>
          <w:rPr>
            <w:rStyle w:val="Hyperlink"/>
            <w:rFonts w:ascii="Times New Roman" w:hAnsi="Times New Roman"/>
            <w:b w:val="false"/>
            <w:i w:val="false"/>
            <w:color w:val="000000"/>
            <w:sz w:val="22"/>
          </w:rPr>
          <w:t>542B.14(1)</w:t>
        </w:r>
      </w:hyperlink>
      <w:r>
        <w:rPr>
          <w:rFonts w:ascii="Times New Roman" w:hAnsi="Times New Roman"/>
          <w:b w:val="false"/>
          <w:i/>
          <w:color w:val="000000"/>
          <w:sz w:val="22"/>
        </w:rPr>
        <w:t>“a”</w:t>
      </w:r>
      <w:r>
        <w:rPr>
          <w:rFonts w:ascii="Times New Roman" w:hAnsi="Times New Roman"/>
          <w:b w:val="false"/>
          <w:i w:val="false"/>
          <w:color w:val="000000"/>
          <w:sz w:val="22"/>
        </w:rPr>
        <w:t xml:space="preserve">(1)(c), the board will employ the following chart to determine if the applicant’s licensure was granted after satisfaction of requirements substantially equivalent to those that were required by Iowa Code section </w:t>
      </w:r>
      <w:hyperlink r:id="rId23">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at the time of the applicant’s original licensure. Column 1 indicates the years of practical experience that were required prior to the Fundamentals of Engineering examination in addition to the completion of the required educational level. To determine the total years of practical experience that were required prior to taking the Principles and Practice of Engineering examination, column 2 is added to column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259"/>
        <w:gridCol w:w="2187"/>
        <w:gridCol w:w="2379"/>
      </w:tblGrid>
      <w:tr>
        <w:trPr>
          <w:trHeight w:val="360" w:hRule="atLeast"/>
        </w:trPr>
        <w:tc>
          <w:tcPr>
            <w:tcW w:w="0" w:type="auto"/>
            <w:gridSpan w:val="3"/>
            <w:tcBorders>
              <w:bottom w:val="single" w:color="000000" w:sz="8"/>
            </w:tcBorders>
            <w:tcMar>
              <w:top w:w="30" w:type="dxa"/>
              <w:left w:w="30" w:type="dxa"/>
              <w:bottom w:w="15" w:type="dxa"/>
              <w:right w:w="30" w:type="dxa"/>
            </w:tcMar>
            <w:vAlign w:val="center"/>
          </w:tcPr>
          <w:p>
            <w:pPr>
              <w:spacing w:before="0" w:after="0" w:line="264"/>
              <w:ind w:left="160"/>
              <w:jc w:val="center"/>
            </w:pPr>
            <w:r>
              <w:rPr>
                <w:rFonts w:ascii="Times New Roman" w:hAnsi="Times New Roman"/>
                <w:b w:val="false"/>
                <w:i w:val="false"/>
                <w:color w:val="000000"/>
                <w:sz w:val="14"/>
              </w:rPr>
              <w:t>EXPERIENCE REQUIREMENTS FOR COMITY APPLICANTS</w:t>
            </w:r>
          </w:p>
          <w:p>
            <w:pPr>
              <w:spacing w:before="0" w:after="0" w:line="264"/>
              <w:ind w:left="160"/>
              <w:jc w:val="center"/>
            </w:pPr>
            <w:r>
              <w:rPr>
                <w:rFonts w:ascii="Times New Roman" w:hAnsi="Times New Roman"/>
                <w:b w:val="false"/>
                <w:i w:val="false"/>
                <w:color w:val="000000"/>
                <w:sz w:val="14"/>
              </w:rPr>
              <w:t xml:space="preserve">Who meet the requirements of Iowa Code section </w:t>
            </w:r>
            <w:hyperlink r:id="rId24">
              <w:r>
                <w:rPr>
                  <w:rStyle w:val="Hyperlink"/>
                  <w:rFonts w:ascii="Times New Roman" w:hAnsi="Times New Roman"/>
                  <w:b w:val="false"/>
                  <w:i w:val="false"/>
                  <w:color w:val="000000"/>
                  <w:sz w:val="14"/>
                </w:rPr>
                <w:t>542B.14(1)</w:t>
              </w:r>
              <w:r>
                <w:rPr>
                  <w:rFonts w:ascii="Times New Roman" w:hAnsi="Times New Roman"/>
                  <w:b w:val="false"/>
                  <w:i/>
                  <w:color w:val="000000"/>
                  <w:sz w:val="14"/>
                </w:rPr>
                <w:t>“a”</w:t>
              </w:r>
              <w:r>
                <w:rPr>
                  <w:rFonts w:ascii="Times New Roman" w:hAnsi="Times New Roman"/>
                  <w:b w:val="false"/>
                  <w:i w:val="false"/>
                  <w:color w:val="000000"/>
                  <w:sz w:val="14"/>
                </w:rPr>
                <w:t>(1)(c)</w:t>
              </w:r>
            </w:hyperlink>
          </w:p>
        </w:tc>
      </w:tr>
      <w:tr>
        <w:trPr>
          <w:trHeight w:val="1230" w:hRule="atLeast"/>
        </w:trPr>
        <w:tc>
          <w:tcPr>
            <w:tcW w:w="5259"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If the applicant’s educational level was:</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additional years of experience prior to taking the Fundamentals of Engineering examination:</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applicant has had the following years of experience after receipt of the qualifying degree and prior to taking the Principles and Practice of Engineering examination:</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College or junior college (mathematics or physical sciences)</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 plus master’s degree in engineering</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All engineering technology programs and architecture</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5</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 nonaccredited technology or BA in architecture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 accredited technology</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degree or more, bachelor of architecture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360"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 technology or architecture plus master’s degree in engineering</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Engineering program, nonaccredited</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 plus master’s degree in engineering</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Engineering program, accredited</w:t>
            </w:r>
          </w:p>
        </w:tc>
        <w:tc>
          <w:tcPr>
            <w:tcW w:w="218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Two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bottom w:val="single" w:color="000000" w:sz="8"/>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Three years</w:t>
            </w:r>
          </w:p>
        </w:tc>
        <w:tc>
          <w:tcPr>
            <w:tcW w:w="2187"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3</w:t>
            </w:r>
          </w:p>
        </w:tc>
        <w:tc>
          <w:tcPr>
            <w:tcW w:w="2379"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r>
        <w:trPr>
          <w:trHeight w:val="195" w:hRule="atLeast"/>
        </w:trPr>
        <w:tc>
          <w:tcPr>
            <w:tcW w:w="5259" w:type="dxa"/>
            <w:tcBorders>
              <w:right w:val="single" w:color="000000" w:sz="8"/>
            </w:tcBorders>
            <w:tcMar>
              <w:top w:w="30" w:type="dxa"/>
              <w:left w:w="30" w:type="dxa"/>
              <w:bottom w:w="15" w:type="dxa"/>
              <w:right w:w="30" w:type="dxa"/>
            </w:tcMar>
            <w:vAlign w:val="bottom"/>
          </w:tcPr>
          <w:p>
            <w:pPr>
              <w:spacing w:before="0" w:after="0" w:line="264"/>
              <w:ind w:left="376"/>
              <w:jc w:val="left"/>
            </w:pPr>
            <w:r>
              <w:rPr>
                <w:rFonts w:ascii="Times New Roman" w:hAnsi="Times New Roman"/>
                <w:b w:val="false"/>
                <w:i w:val="false"/>
                <w:color w:val="000000"/>
                <w:sz w:val="14"/>
              </w:rPr>
              <w:t>Four-year BS degree</w:t>
            </w:r>
          </w:p>
        </w:tc>
        <w:tc>
          <w:tcPr>
            <w:tcW w:w="2187"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0</w:t>
            </w:r>
          </w:p>
        </w:tc>
        <w:tc>
          <w:tcPr>
            <w:tcW w:w="2379"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other applicants who were originally licensed in a jurisdiction other than Iowa on or after July 1, 1988, the board will employ the chart found at subrule </w:t>
      </w:r>
      <w:hyperlink r:id="rId25">
        <w:r>
          <w:rPr>
            <w:rStyle w:val="Hyperlink"/>
            <w:rFonts w:ascii="Times New Roman" w:hAnsi="Times New Roman"/>
            <w:b w:val="false"/>
            <w:i w:val="false"/>
            <w:color w:val="000000"/>
            <w:sz w:val="22"/>
          </w:rPr>
          <w:t>1048.1(5)</w:t>
        </w:r>
      </w:hyperlink>
      <w:r>
        <w:rPr>
          <w:rFonts w:ascii="Times New Roman" w:hAnsi="Times New Roman"/>
          <w:b w:val="false"/>
          <w:i w:val="false"/>
          <w:color w:val="000000"/>
          <w:sz w:val="22"/>
        </w:rPr>
        <w:t xml:space="preserve"> to determine if the applicant’s licensure was granted after satisfaction of requirements substantially equivalent to those that are required by Iowa Code section </w:t>
      </w:r>
      <w:hyperlink r:id="rId26">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an applicant’s master’s degree in engineering is to be from an institution in the United States of America with an accredited bachelor’s degree in the same curriculum, and the master’s degree candidate is required to fulfill the requirements for the bachelor’s degree in the same area of specialization.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481—1048.3</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a licensee requesting additional examination. </w:t>
      </w:r>
      <w:r>
        <w:rPr>
          <w:rFonts w:ascii="Times New Roman" w:hAnsi="Times New Roman"/>
          <w:b w:val="false"/>
          <w:i w:val="false"/>
          <w:color w:val="000000"/>
          <w:sz w:val="22"/>
        </w:rPr>
        <w:t>A person holding an active certificate of licensure to engage in the practice of engineering issued by the state of Iowa may, upon written request and payment of the application and examination fees, take additional examinations in other branches of engineering without submitting a formal application to the board as described for initial or comity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542B.17</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9/12/02, Notice 6/12/02—published 10/2/02, effective 11/6/02]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4/22/04, Notice 2/4/04—published 5/12/04, effective 6/16/04]</w:t>
      </w:r>
    </w:p>
    <w:p>
      <w:pPr>
        <w:spacing w:before="0" w:after="0"/>
        <w:ind w:left="120"/>
        <w:jc w:val="center"/>
      </w:pPr>
      <w:r>
        <w:rPr>
          <w:rFonts w:ascii="Times New Roman" w:hAnsi="Times New Roman"/>
          <w:b w:val="false"/>
          <w:i w:val="false"/>
          <w:color w:val="000000"/>
          <w:sz w:val="21"/>
        </w:rPr>
        <w:t>[Filed 9/22/05, Notice 6/8/05—published 10/12/05, effective 11/16/05]</w:t>
      </w:r>
    </w:p>
    <w:p>
      <w:pPr>
        <w:spacing w:before="0" w:after="0"/>
        <w:ind w:left="120"/>
        <w:jc w:val="center"/>
      </w:pPr>
      <w:r>
        <w:rPr>
          <w:rFonts w:ascii="Times New Roman" w:hAnsi="Times New Roman"/>
          <w:b w:val="false"/>
          <w:i w:val="false"/>
          <w:color w:val="000000"/>
          <w:sz w:val="21"/>
        </w:rPr>
        <w:t>[Filed 11/29/06, Notice 8/16/06—published 12/20/06, effective 1/24/07]</w:t>
      </w:r>
    </w:p>
    <w:p>
      <w:pPr>
        <w:spacing w:before="0" w:after="0"/>
        <w:ind w:left="120"/>
        <w:jc w:val="center"/>
      </w:pPr>
      <w:r>
        <w:rPr>
          <w:rFonts w:ascii="Times New Roman" w:hAnsi="Times New Roman"/>
          <w:b w:val="false"/>
          <w:i w:val="false"/>
          <w:color w:val="000000"/>
          <w:sz w:val="21"/>
        </w:rPr>
        <w:t>[Filed 11/29/07, Notice 8/15/07—published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12/19/07</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7753B</w:t>
      </w:r>
      <w:r>
        <w:rPr>
          <w:rFonts w:ascii="Times New Roman" w:hAnsi="Times New Roman"/>
          <w:b w:val="false"/>
          <w:i w:val="false"/>
          <w:color w:val="000000"/>
          <w:sz w:val="21"/>
        </w:rPr>
        <w:t xml:space="preserve"> (Notice ARC 7434B, IAB 12/17/08)</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9285B</w:t>
      </w:r>
      <w:r>
        <w:rPr>
          <w:rFonts w:ascii="Times New Roman" w:hAnsi="Times New Roman"/>
          <w:b w:val="false"/>
          <w:i w:val="false"/>
          <w:color w:val="000000"/>
          <w:sz w:val="21"/>
        </w:rPr>
        <w:t xml:space="preserve"> (Notice ARC 9021B, IAB 8/25/10)</w:t>
      </w:r>
      <w:r>
        <w:rPr>
          <w:rFonts w:ascii="Times New Roman" w:hAnsi="Times New Roman"/>
          <w:b w:val="false"/>
          <w:i w:val="false"/>
          <w:color w:val="000000"/>
          <w:sz w:val="21"/>
        </w:rPr>
        <w:t>, IAB 12/15/10, effective 1/19/11]</w:t>
      </w:r>
      <w:r>
        <w:br/>
      </w:r>
      <w:r>
        <w:rPr>
          <w:rFonts w:ascii="Times New Roman" w:hAnsi="Times New Roman"/>
          <w:b w:val="false"/>
          <w:i w:val="false"/>
          <w:color w:val="000000"/>
          <w:sz w:val="21"/>
        </w:rPr>
        <w:t>[Filed ARC 9286B</w:t>
      </w:r>
      <w:r>
        <w:rPr>
          <w:rFonts w:ascii="Times New Roman" w:hAnsi="Times New Roman"/>
          <w:b w:val="false"/>
          <w:i w:val="false"/>
          <w:color w:val="000000"/>
          <w:sz w:val="21"/>
        </w:rPr>
        <w:t xml:space="preserve"> (Notice ARC 9022B, IAB 8/25/10)</w:t>
      </w:r>
      <w:r>
        <w:rPr>
          <w:rFonts w:ascii="Times New Roman" w:hAnsi="Times New Roman"/>
          <w:b w:val="false"/>
          <w:i w:val="false"/>
          <w:color w:val="000000"/>
          <w:sz w:val="21"/>
        </w:rPr>
        <w:t>, IAB 12/15/10, effective 1/19/11]</w:t>
      </w:r>
      <w:r>
        <w:br/>
      </w:r>
      <w:r>
        <w:rPr>
          <w:rFonts w:ascii="Times New Roman" w:hAnsi="Times New Roman"/>
          <w:b w:val="false"/>
          <w:i w:val="false"/>
          <w:color w:val="000000"/>
          <w:sz w:val="21"/>
        </w:rPr>
        <w:t>[Filed ARC 9288B</w:t>
      </w:r>
      <w:r>
        <w:rPr>
          <w:rFonts w:ascii="Times New Roman" w:hAnsi="Times New Roman"/>
          <w:b w:val="false"/>
          <w:i w:val="false"/>
          <w:color w:val="000000"/>
          <w:sz w:val="21"/>
        </w:rPr>
        <w:t xml:space="preserve"> (Notice ARC 9024B, IAB 8/25/10)</w:t>
      </w:r>
      <w:r>
        <w:rPr>
          <w:rFonts w:ascii="Times New Roman" w:hAnsi="Times New Roman"/>
          <w:b w:val="false"/>
          <w:i w:val="false"/>
          <w:color w:val="000000"/>
          <w:sz w:val="21"/>
        </w:rPr>
        <w:t>, IAB 12/15/10, effective 1/19/11]</w:t>
      </w:r>
      <w:r>
        <w:br/>
      </w:r>
      <w:r>
        <w:rPr>
          <w:rFonts w:ascii="Times New Roman" w:hAnsi="Times New Roman"/>
          <w:b w:val="false"/>
          <w:i w:val="false"/>
          <w:color w:val="000000"/>
          <w:sz w:val="21"/>
        </w:rPr>
        <w:t>[Filed ARC 9287B</w:t>
      </w:r>
      <w:r>
        <w:rPr>
          <w:rFonts w:ascii="Times New Roman" w:hAnsi="Times New Roman"/>
          <w:b w:val="false"/>
          <w:i w:val="false"/>
          <w:color w:val="000000"/>
          <w:sz w:val="21"/>
        </w:rPr>
        <w:t xml:space="preserve"> (Notice ARC 9023B, IAB 8/25/10)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0684C</w:t>
      </w:r>
      <w:r>
        <w:rPr>
          <w:rFonts w:ascii="Times New Roman" w:hAnsi="Times New Roman"/>
          <w:b w:val="false"/>
          <w:i w:val="false"/>
          <w:color w:val="000000"/>
          <w:sz w:val="21"/>
        </w:rPr>
        <w:t xml:space="preserve"> (Notice ARC 0530C,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0779C</w:t>
      </w:r>
      <w:r>
        <w:rPr>
          <w:rFonts w:ascii="Times New Roman" w:hAnsi="Times New Roman"/>
          <w:b w:val="false"/>
          <w:i w:val="false"/>
          <w:color w:val="000000"/>
          <w:sz w:val="21"/>
        </w:rPr>
        <w:t xml:space="preserve"> (Notice ARC 0603C, IAB 2/20/13)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1349C</w:t>
      </w:r>
      <w:r>
        <w:rPr>
          <w:rFonts w:ascii="Times New Roman" w:hAnsi="Times New Roman"/>
          <w:b w:val="false"/>
          <w:i w:val="false"/>
          <w:color w:val="000000"/>
          <w:sz w:val="21"/>
        </w:rPr>
        <w:t xml:space="preserve"> (Notice ARC 1254C,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2388C</w:t>
      </w:r>
      <w:r>
        <w:rPr>
          <w:rFonts w:ascii="Times New Roman" w:hAnsi="Times New Roman"/>
          <w:b w:val="false"/>
          <w:i w:val="false"/>
          <w:color w:val="000000"/>
          <w:sz w:val="21"/>
        </w:rPr>
        <w:t xml:space="preserve"> (Notice ARC 2219C, IAB 10/28/15)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7667C</w:t>
      </w:r>
      <w:r>
        <w:rPr>
          <w:rFonts w:ascii="Times New Roman" w:hAnsi="Times New Roman"/>
          <w:b w:val="false"/>
          <w:i w:val="false"/>
          <w:color w:val="000000"/>
          <w:sz w:val="21"/>
        </w:rPr>
        <w:t xml:space="preserve"> (Notice ARC 7407C,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3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4.pdf" Type="http://schemas.openxmlformats.org/officeDocument/2006/relationships/hyperlink" Id="rId5"/>
    <Relationship TargetMode="External" Target="https://www.legis.iowa.gov/docs/iac/rule/481.1048.1.pdf" Type="http://schemas.openxmlformats.org/officeDocument/2006/relationships/hyperlink" Id="rId6"/>
    <Relationship TargetMode="External" Target="https://www.legis.iowa.gov/docs/ico/chapter/542B.26.pdf" Type="http://schemas.openxmlformats.org/officeDocument/2006/relationships/hyperlink" Id="rId7"/>
    <Relationship TargetMode="External" Target="https://www.legis.iowa.gov/docs/iac/rule/481.1048.1.pdf" Type="http://schemas.openxmlformats.org/officeDocument/2006/relationships/hyperlink" Id="rId8"/>
    <Relationship TargetMode="External" Target="https://www.legis.iowa.gov/docs/iac/rule/481.1048.1.pdf" Type="http://schemas.openxmlformats.org/officeDocument/2006/relationships/hyperlink" Id="rId9"/>
    <Relationship TargetMode="External" Target="https://www.legis.iowa.gov/docs/iac/rule/481.1048.1.pdf" Type="http://schemas.openxmlformats.org/officeDocument/2006/relationships/hyperlink" Id="rId10"/>
    <Relationship TargetMode="External" Target="https://www.legis.iowa.gov/docs/iac/rule/481.1048.1.pdf" Type="http://schemas.openxmlformats.org/officeDocument/2006/relationships/hyperlink" Id="rId11"/>
    <Relationship TargetMode="External" Target="https://www.legis.iowa.gov/docs/iac/rule/481.1048.1.pdf" Type="http://schemas.openxmlformats.org/officeDocument/2006/relationships/hyperlink" Id="rId12"/>
    <Relationship TargetMode="External" Target="https://www.legis.iowa.gov/docs/ico/chapter/542B.14.pdf" Type="http://schemas.openxmlformats.org/officeDocument/2006/relationships/hyperlink" Id="rId13"/>
    <Relationship TargetMode="External" Target="https://www.legis.iowa.gov/docs/iac/rule/481.1048.1.pdf" Type="http://schemas.openxmlformats.org/officeDocument/2006/relationships/hyperlink" Id="rId14"/>
    <Relationship TargetMode="External" Target="https://www.legis.iowa.gov/docs/ico/chapter/542B.14.pdf" Type="http://schemas.openxmlformats.org/officeDocument/2006/relationships/hyperlink" Id="rId15"/>
    <Relationship TargetMode="External" Target="https://www.legis.iowa.gov/docs/ico/chapter/542B.14.pdf" Type="http://schemas.openxmlformats.org/officeDocument/2006/relationships/hyperlink" Id="rId16"/>
    <Relationship TargetMode="External" Target="https://www.legis.iowa.gov/docs/ico/chapter/542B.14.pdf" Type="http://schemas.openxmlformats.org/officeDocument/2006/relationships/hyperlink" Id="rId17"/>
    <Relationship TargetMode="External" Target="https://www.legis.iowa.gov/docs/ico/chapter/542B.14.pdf" Type="http://schemas.openxmlformats.org/officeDocument/2006/relationships/hyperlink" Id="rId18"/>
    <Relationship TargetMode="External" Target="https://www.legis.iowa.gov/docs/iac/rule/481.1048.1.pdf" Type="http://schemas.openxmlformats.org/officeDocument/2006/relationships/hyperlink" Id="rId19"/>
    <Relationship TargetMode="External" Target="https://www.legis.iowa.gov/docs/iac/rule/481.1048.1.pdf" Type="http://schemas.openxmlformats.org/officeDocument/2006/relationships/hyperlink" Id="rId20"/>
    <Relationship TargetMode="External" Target="https://www.legis.iowa.gov/docs/ico/chapter/542B.14.pdf" Type="http://schemas.openxmlformats.org/officeDocument/2006/relationships/hyperlink" Id="rId21"/>
    <Relationship TargetMode="External" Target="https://www.legis.iowa.gov/docs/ico/chapter/542B.14.pdf" Type="http://schemas.openxmlformats.org/officeDocument/2006/relationships/hyperlink" Id="rId22"/>
    <Relationship TargetMode="External" Target="https://www.legis.iowa.gov/docs/ico/chapter/542B.14.pdf" Type="http://schemas.openxmlformats.org/officeDocument/2006/relationships/hyperlink" Id="rId23"/>
    <Relationship TargetMode="External" Target="https://www.legis.iowa.gov/docs/ico/chapter/542B.14.pdf" Type="http://schemas.openxmlformats.org/officeDocument/2006/relationships/hyperlink" Id="rId24"/>
    <Relationship TargetMode="External" Target="https://www.legis.iowa.gov/docs/iac/rule/481.1048.1.pdf" Type="http://schemas.openxmlformats.org/officeDocument/2006/relationships/hyperlink" Id="rId25"/>
    <Relationship TargetMode="External" Target="https://www.legis.iowa.gov/docs/ico/chapter/542B.14.pdf" Type="http://schemas.openxmlformats.org/officeDocument/2006/relationships/hyperlink" Id="rId26"/>
    <Relationship TargetMode="External" Target="https://www.legis.iowa.gov/docs/ico/chapter/542B.2.pdf" Type="http://schemas.openxmlformats.org/officeDocument/2006/relationships/hyperlink" Id="rId27"/>
    <Relationship TargetMode="External" Target="https://www.legis.iowa.gov/docs/ico/chapter/542B.13.pdf" Type="http://schemas.openxmlformats.org/officeDocument/2006/relationships/hyperlink" Id="rId28"/>
    <Relationship TargetMode="External" Target="https://www.legis.iowa.gov/docs/ico/chapter/542B.14.pdf" Type="http://schemas.openxmlformats.org/officeDocument/2006/relationships/hyperlink" Id="rId29"/>
    <Relationship TargetMode="External" Target="https://www.legis.iowa.gov/docs/ico/chapter/542B.15.pdf" Type="http://schemas.openxmlformats.org/officeDocument/2006/relationships/hyperlink" Id="rId30"/>
    <Relationship TargetMode="External" Target="https://www.legis.iowa.gov/docs/ico/chapter/542B.17.pdf" Type="http://schemas.openxmlformats.org/officeDocument/2006/relationships/hyperlink" Id="rId31"/>
    <Relationship TargetMode="External" Target="https://www.legis.iowa.gov/docs/ico/chapter/542B.20.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