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1047</w:t>
      </w:r>
    </w:p>
    <w:p>
      <w:pPr>
        <w:spacing w:before="0" w:after="0"/>
        <w:ind w:left="120"/>
        <w:jc w:val="center"/>
      </w:pPr>
      <w:r>
        <w:rPr>
          <w:rFonts w:ascii="Times New Roman" w:hAnsi="Times New Roman"/>
          <w:b w:val="false"/>
          <w:i w:val="false"/>
          <w:color w:val="000000"/>
          <w:sz w:val="21"/>
        </w:rPr>
        <w:t>APPLICATION AND RENEWAL PROCESS</w:t>
      </w:r>
    </w:p>
    <w:p>
      <w:pPr>
        <w:spacing w:before="0" w:after="0"/>
        <w:ind w:left="120"/>
        <w:jc w:val="center"/>
      </w:pPr>
      <w:r>
        <w:rPr>
          <w:rFonts w:ascii="Times New Roman" w:hAnsi="Times New Roman"/>
          <w:b w:val="false"/>
          <w:i w:val="false"/>
          <w:color w:val="000000"/>
          <w:sz w:val="20"/>
        </w:rPr>
        <w:t>[Prior to 11/14/01, see 193C—Chapter 1]</w:t>
      </w:r>
    </w:p>
    <w:p>
      <w:pPr>
        <w:spacing w:before="0" w:after="0"/>
        <w:ind w:left="120"/>
        <w:jc w:val="center"/>
      </w:pPr>
      <w:r>
        <w:rPr>
          <w:rFonts w:ascii="Times New Roman" w:hAnsi="Times New Roman"/>
          <w:b w:val="false"/>
          <w:i w:val="false"/>
          <w:color w:val="000000"/>
          <w:sz w:val="20"/>
        </w:rPr>
        <w:t>[Prior to 6/24/26, see Engineering and Land Surveying Examining Board[193C]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A person requesting to be licensed as a professional engineer or professional land surveyor shall submit a completed, standardized application form, which may be obtained electronically from the board’s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1047.1(1)</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On the examination and comity applications due date, the applications are considered current if it has been one year or less since the applications were received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1047.1(2)</w:t>
      </w:r>
      <w:r>
        <w:rPr>
          <w:rFonts w:ascii="Times New Roman" w:hAnsi="Times New Roman"/>
          <w:b w:val="false"/>
          <w:i w:val="false"/>
          <w:color w:val="000000"/>
          <w:sz w:val="22"/>
        </w:rPr>
        <w:t> </w:t>
      </w:r>
      <w:r>
        <w:rPr>
          <w:rFonts w:ascii="Times New Roman" w:hAnsi="Times New Roman"/>
          <w:b w:val="false"/>
          <w:i/>
          <w:color w:val="000000"/>
          <w:sz w:val="22"/>
        </w:rPr>
        <w:t xml:space="preserve">Academic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United States institutions. </w:t>
      </w:r>
      <w:r>
        <w:rPr>
          <w:rFonts w:ascii="Times New Roman" w:hAnsi="Times New Roman"/>
          <w:b w:val="false"/>
          <w:i w:val="false"/>
          <w:color w:val="000000"/>
          <w:sz w:val="22"/>
        </w:rPr>
        <w:t>Completion of post-high school education shall be evidenced by the board’s receipt of an applicant’s transcripts directly from the office of the registrar of each institution conferring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Institutions outside the United States. </w:t>
      </w:r>
      <w:r>
        <w:rPr>
          <w:rFonts w:ascii="Times New Roman" w:hAnsi="Times New Roman"/>
          <w:b w:val="false"/>
          <w:i w:val="false"/>
          <w:color w:val="000000"/>
          <w:sz w:val="22"/>
        </w:rPr>
        <w:t>Transcripts from institutions located outside the boundaries of the United States of America shall be sent directly from the institution to an evaluation service to be evaluated for authenticity and substantial equivalency with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Engineering Accreditation Commission (EAC) accredited engineering programs. To be readily acceptable, such evaluations shall be from the National Council of Examiners for Engineering and Surveying (NCEES). However, the board may accept evaluations from other recognized foreign credential evaluators satisfactory to the board. The expense of the evaluation is the responsibility of the applicant. Each evaluation shall be sent directly to the board from the evaluation service and include a copy of the transcript in the form sent to the evaluation service directly from the educational institution. Each evaluation must address both whether the transcript is authentic and whether the engineering program is equivalent to those accredited by ABET or EAC.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481—1047.2</w:t>
      </w:r>
      <w:r>
        <w:rPr>
          <w:rFonts w:ascii="Times New Roman" w:hAnsi="Times New Roman"/>
          <w:b/>
          <w:i w:val="false"/>
          <w:color w:val="000000"/>
          <w:sz w:val="22"/>
        </w:rPr>
        <w:t xml:space="preserve">(542B) </w:t>
      </w:r>
      <w:r>
        <w:rPr>
          <w:rFonts w:ascii="Times New Roman" w:hAnsi="Times New Roman"/>
          <w:b/>
          <w:i w:val="false"/>
          <w:color w:val="000000"/>
          <w:sz w:val="22"/>
        </w:rPr>
        <w:t xml:space="preserve">Application components and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1047.2(1)</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Applications for the Fundamentals of Engineering examination are submitted directly to the examination service selected by the board to administer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1047.2(2)</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Land Surveying examination application components and due dates. </w:t>
      </w:r>
      <w:r>
        <w:rPr>
          <w:rFonts w:ascii="Times New Roman" w:hAnsi="Times New Roman"/>
          <w:b w:val="false"/>
          <w:i w:val="false"/>
          <w:color w:val="000000"/>
          <w:sz w:val="22"/>
        </w:rPr>
        <w:t xml:space="preserve">The components of this application include: the completed application form, references pursuant to </w:t>
      </w:r>
      <w:hyperlink r:id="rId5">
        <w:r>
          <w:rPr>
            <w:rStyle w:val="Hyperlink"/>
            <w:rFonts w:ascii="Times New Roman" w:hAnsi="Times New Roman"/>
            <w:b w:val="false"/>
            <w:i w:val="false"/>
            <w:color w:val="000000"/>
            <w:sz w:val="22"/>
          </w:rPr>
          <w:t>481—paragraph 1049.1(5)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transcripts. Fundamentals of Land Surveying examination applications must be submitted to the board office. Applications submitted by the first day of each month will be reviewed by the board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1047.2(3)</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application. </w:t>
      </w:r>
      <w:r>
        <w:rPr>
          <w:rFonts w:ascii="Times New Roman" w:hAnsi="Times New Roman"/>
          <w:b w:val="false"/>
          <w:i w:val="false"/>
          <w:color w:val="000000"/>
          <w:sz w:val="22"/>
        </w:rPr>
        <w:t xml:space="preserve">Principles and Practice of Engineering examination applications are submitted directly to the examination service selected by the board. Documentation of a qualifying degree will be required prior to approval to sit for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1047.2(4)</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Land Surveying application components and due dates. </w:t>
      </w:r>
      <w:r>
        <w:rPr>
          <w:rFonts w:ascii="Times New Roman" w:hAnsi="Times New Roman"/>
          <w:b w:val="false"/>
          <w:i w:val="false"/>
          <w:color w:val="000000"/>
          <w:sz w:val="22"/>
        </w:rPr>
        <w:t xml:space="preserve">Principles and Practice of Land Surveying examination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application file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number of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Examination applications will not be reviewed by the board until the application file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license application. </w:t>
      </w:r>
      <w:r>
        <w:rPr>
          <w:rFonts w:ascii="Times New Roman" w:hAnsi="Times New Roman"/>
          <w:b w:val="false"/>
          <w:i w:val="false"/>
          <w:color w:val="000000"/>
          <w:sz w:val="22"/>
        </w:rPr>
        <w:t xml:space="preserve">Professional engineer license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professional engineer license application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number of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Professional engineer license applications will not be reviewed until the application file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481—1047.3</w:t>
      </w:r>
      <w:r>
        <w:rPr>
          <w:rFonts w:ascii="Times New Roman" w:hAnsi="Times New Roman"/>
          <w:b/>
          <w:i w:val="false"/>
          <w:color w:val="000000"/>
          <w:sz w:val="22"/>
        </w:rPr>
        <w:t xml:space="preserve">(542B) </w:t>
      </w:r>
      <w:r>
        <w:rPr>
          <w:rFonts w:ascii="Times New Roman" w:hAnsi="Times New Roman"/>
          <w:b/>
          <w:i w:val="false"/>
          <w:color w:val="000000"/>
          <w:sz w:val="22"/>
        </w:rPr>
        <w:t xml:space="preserve">Comity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1047.3(1)</w:t>
      </w:r>
      <w:r>
        <w:rPr>
          <w:rFonts w:ascii="Times New Roman" w:hAnsi="Times New Roman"/>
          <w:b w:val="false"/>
          <w:i w:val="false"/>
          <w:color w:val="000000"/>
          <w:sz w:val="22"/>
        </w:rPr>
        <w:t> </w:t>
      </w:r>
      <w:r>
        <w:rPr>
          <w:rFonts w:ascii="Times New Roman" w:hAnsi="Times New Roman"/>
          <w:b w:val="false"/>
          <w:i w:val="false"/>
          <w:color w:val="000000"/>
          <w:sz w:val="22"/>
        </w:rPr>
        <w:t>The components of a comity application include the completed application form, the ethics questionnaire, references, transcripts, and verification of examinations, as appropriate. Comity applicants may submit the NCEES record in lieu of providing references, verifications, transcripts, and employment history. Since the verification of examination records must, in most cases, be sent directly from the jurisdiction where the applicant took the Fundamentals of Engineering and Principles and Practice Engineering examinations, the applicant should contact the other jurisdiction in advance of submitting the application to request this verification and make every effort to have the verification sent to the board at the time that the application is submitted. Likewise, for transcripts the applicant should contact the university in advance of submitting the application to make every effort to have the transcripts transmitted to the board at the time that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1047.3(2)</w:t>
      </w:r>
      <w:r>
        <w:rPr>
          <w:rFonts w:ascii="Times New Roman" w:hAnsi="Times New Roman"/>
          <w:b w:val="false"/>
          <w:i w:val="false"/>
          <w:color w:val="000000"/>
          <w:sz w:val="22"/>
        </w:rPr>
        <w:t> </w:t>
      </w:r>
      <w:r>
        <w:rPr>
          <w:rFonts w:ascii="Times New Roman" w:hAnsi="Times New Roman"/>
          <w:b w:val="false"/>
          <w:i w:val="false"/>
          <w:color w:val="000000"/>
          <w:sz w:val="22"/>
        </w:rPr>
        <w:t>Comity applications will be reviewed as they are completed. Comity applications will not be reviewed until all components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1047.3(3)</w:t>
      </w:r>
      <w:r>
        <w:rPr>
          <w:rFonts w:ascii="Times New Roman" w:hAnsi="Times New Roman"/>
          <w:b w:val="false"/>
          <w:i w:val="false"/>
          <w:color w:val="000000"/>
          <w:sz w:val="22"/>
        </w:rPr>
        <w:t> </w:t>
      </w:r>
      <w:r>
        <w:rPr>
          <w:rFonts w:ascii="Times New Roman" w:hAnsi="Times New Roman"/>
          <w:b w:val="false"/>
          <w:i w:val="false"/>
          <w:color w:val="000000"/>
          <w:sz w:val="22"/>
        </w:rPr>
        <w:t>Comity applicants will be notified in writing via regular mail or email regarding the results of the review of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license. The board does not issue temporary licenses, except as provided for in rule </w:t>
      </w:r>
      <w:hyperlink r:id="rId6">
        <w:r>
          <w:rPr>
            <w:rStyle w:val="Hyperlink"/>
            <w:rFonts w:ascii="Times New Roman" w:hAnsi="Times New Roman"/>
            <w:b w:val="false"/>
            <w:i w:val="false"/>
            <w:color w:val="000000"/>
            <w:sz w:val="22"/>
          </w:rPr>
          <w:t>481—1049.3</w:t>
        </w:r>
      </w:hyperlink>
      <w:r>
        <w:rPr>
          <w:rFonts w:ascii="Times New Roman" w:hAnsi="Times New Roman"/>
          <w:b w:val="false"/>
          <w:i w:val="false"/>
          <w:color w:val="000000"/>
          <w:sz w:val="22"/>
        </w:rPr>
        <w:t>(542B,272C).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481—1047.4</w:t>
      </w:r>
      <w:r>
        <w:rPr>
          <w:rFonts w:ascii="Times New Roman" w:hAnsi="Times New Roman"/>
          <w:b/>
          <w:i w:val="false"/>
          <w:color w:val="000000"/>
          <w:sz w:val="22"/>
        </w:rPr>
        <w:t xml:space="preserve">(542B) </w:t>
      </w:r>
      <w:r>
        <w:rPr>
          <w:rFonts w:ascii="Times New Roman" w:hAnsi="Times New Roman"/>
          <w:b/>
          <w:i w:val="false"/>
          <w:color w:val="000000"/>
          <w:sz w:val="22"/>
        </w:rPr>
        <w:t xml:space="preserve">Renewal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dates. </w:t>
      </w:r>
      <w:r>
        <w:rPr>
          <w:rFonts w:ascii="Times New Roman" w:hAnsi="Times New Roman"/>
          <w:b w:val="false"/>
          <w:i w:val="false"/>
          <w:color w:val="000000"/>
          <w:sz w:val="22"/>
        </w:rPr>
        <w:t>Certificates of licensure expire biennially on December 31. Certificates that were initially issued in even-numbered years expire in odd-numbered years and certificates that were initially issued in odd-numbered years expire in even-numbered years. In order to maintain authorization to practice engineering or land surveying in Iowa, licensees must renew their certificates of licensure on or prior to the expiration date. A licensee who fails to renew prior to the date the certificate expires is not authorized to practice in Iowa unless the certificate is reinstated as provided in these rules. However, the board will accept an otherwise sufficient renewal application that is untimely if the board receives the application and late fee within 30 days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board typically mails a renewal notification to a licensee’s last- known address at least one month prior to the license expiration date. Neither the board’s failure to mail a renewal notification nor the licensee’s failure to receive a renewal notification affects in any way the licensee’s duty to timely renew if the licensee intends to continue practicing in Iowa. Licensees need to contact the board office if they do not receive a renewal notification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1047.4(3)</w:t>
      </w:r>
      <w:r>
        <w:rPr>
          <w:rFonts w:ascii="Times New Roman" w:hAnsi="Times New Roman"/>
          <w:b w:val="false"/>
          <w:i w:val="false"/>
          <w:color w:val="000000"/>
          <w:sz w:val="22"/>
        </w:rPr>
        <w:t> </w:t>
      </w:r>
      <w:r>
        <w:rPr>
          <w:rFonts w:ascii="Times New Roman" w:hAnsi="Times New Roman"/>
          <w:b w:val="false"/>
          <w:i/>
          <w:color w:val="000000"/>
          <w:sz w:val="22"/>
        </w:rPr>
        <w:t xml:space="preserve">Renewal process. </w:t>
      </w:r>
      <w:r>
        <w:rPr>
          <w:rFonts w:ascii="Times New Roman" w:hAnsi="Times New Roman"/>
          <w:b w:val="false"/>
          <w:i w:val="false"/>
          <w:color w:val="000000"/>
          <w:sz w:val="22"/>
        </w:rPr>
        <w:t>Upon receipt of a timely and sufficient renewal application, with the proper fee, the board’s executive secretary will issue a new license reflecting the next expiration date, unless grounds exist for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expiration. </w:t>
      </w:r>
      <w:r>
        <w:rPr>
          <w:rFonts w:ascii="Times New Roman" w:hAnsi="Times New Roman"/>
          <w:b w:val="false"/>
          <w:i w:val="false"/>
          <w:color w:val="000000"/>
          <w:sz w:val="22"/>
        </w:rPr>
        <w:t>The board will notify licensees whose certificates of licensure have expired. The failure of the board to provide this courtesy notification, or the failure of the licensee to receive the courtesy notification, does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1047.4(5)</w:t>
      </w:r>
      <w:r>
        <w:rPr>
          <w:rFonts w:ascii="Times New Roman" w:hAnsi="Times New Roman"/>
          <w:b w:val="false"/>
          <w:i w:val="false"/>
          <w:color w:val="000000"/>
          <w:sz w:val="22"/>
        </w:rPr>
        <w:t> </w:t>
      </w:r>
      <w:r>
        <w:rPr>
          <w:rFonts w:ascii="Times New Roman" w:hAnsi="Times New Roman"/>
          <w:b w:val="false"/>
          <w:i/>
          <w:color w:val="000000"/>
          <w:sz w:val="22"/>
        </w:rPr>
        <w:t xml:space="preserve">Sanction for practicing after license expiration. </w:t>
      </w:r>
      <w:r>
        <w:rPr>
          <w:rFonts w:ascii="Times New Roman" w:hAnsi="Times New Roman"/>
          <w:b w:val="false"/>
          <w:i w:val="false"/>
          <w:color w:val="000000"/>
          <w:sz w:val="22"/>
        </w:rPr>
        <w:t>A licensee who continues to practice in Iowa after the license has expired is subject to disciplinary action. Such unauthorized activity may also provide grounds to deny a licensee’s application to reinstate.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1047.4(6)</w:t>
      </w:r>
      <w:r>
        <w:rPr>
          <w:rFonts w:ascii="Times New Roman" w:hAnsi="Times New Roman"/>
          <w:b w:val="false"/>
          <w:i w:val="false"/>
          <w:color w:val="000000"/>
          <w:sz w:val="22"/>
        </w:rPr>
        <w:t> </w:t>
      </w:r>
      <w:r>
        <w:rPr>
          <w:rFonts w:ascii="Times New Roman" w:hAnsi="Times New Roman"/>
          <w:b w:val="false"/>
          <w:i/>
          <w:color w:val="000000"/>
          <w:sz w:val="22"/>
        </w:rPr>
        <w:t xml:space="preserve">Timely and sufficient renewal application. </w:t>
      </w:r>
      <w:r>
        <w:rPr>
          <w:rFonts w:ascii="Times New Roman" w:hAnsi="Times New Roman"/>
          <w:b w:val="false"/>
          <w:i w:val="false"/>
          <w:color w:val="000000"/>
          <w:sz w:val="22"/>
        </w:rPr>
        <w:t xml:space="preserve">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is deemed improper if, for instance, the amount is incorrect, the fee was not included with the application, the credit card number provided by the applicant is incorrect, the date of expiration of a credit card is left off the application or is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accuracy of renewal application. </w:t>
      </w:r>
      <w:r>
        <w:rPr>
          <w:rFonts w:ascii="Times New Roman" w:hAnsi="Times New Roman"/>
          <w:b w:val="false"/>
          <w:i w:val="false"/>
          <w:color w:val="000000"/>
          <w:sz w:val="22"/>
        </w:rPr>
        <w:t>The licensee is responsible for verifying the accuracy of the information submitted on the renewal application regardless of how the application is submitted or by whom it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application. </w:t>
      </w:r>
      <w:r>
        <w:rPr>
          <w:rFonts w:ascii="Times New Roman" w:hAnsi="Times New Roman"/>
          <w:b w:val="false"/>
          <w:i w:val="false"/>
          <w:color w:val="000000"/>
          <w:sz w:val="22"/>
        </w:rPr>
        <w:t xml:space="preserve">If the board, upon receipt of a timely, complete and sufficient application to renew a certificate of licensure, accompanied by the proper fee, denies the application, the executive secretary will send written notice to the applicant by restricted, certified mail, return receipt requested, identifying the basis for denial. The applicant may contest the board’s decision as provided in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1047.4(9)</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 licensee who does not satisfy the continuing education requirements for licensure renewal will be denied renewal of licensure in accordance with subrule </w:t>
      </w:r>
      <w:hyperlink r:id="rId9">
        <w:r>
          <w:rPr>
            <w:rStyle w:val="Hyperlink"/>
            <w:rFonts w:ascii="Times New Roman" w:hAnsi="Times New Roman"/>
            <w:b w:val="false"/>
            <w:i w:val="false"/>
            <w:color w:val="000000"/>
            <w:sz w:val="22"/>
          </w:rPr>
          <w:t>1047.4(8)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1047.4(10)</w:t>
      </w:r>
      <w:r>
        <w:rPr>
          <w:rFonts w:ascii="Times New Roman" w:hAnsi="Times New Roman"/>
          <w:b w:val="false"/>
          <w:i w:val="false"/>
          <w:color w:val="000000"/>
          <w:sz w:val="22"/>
        </w:rPr>
        <w:t> </w:t>
      </w:r>
      <w:r>
        <w:rPr>
          <w:rFonts w:ascii="Times New Roman" w:hAnsi="Times New Roman"/>
          <w:b w:val="false"/>
          <w:i/>
          <w:color w:val="000000"/>
          <w:sz w:val="22"/>
        </w:rPr>
        <w:t xml:space="preserve">Consent order option. </w:t>
      </w:r>
      <w:r>
        <w:rPr>
          <w:rFonts w:ascii="Times New Roman" w:hAnsi="Times New Roman"/>
          <w:b w:val="false"/>
          <w:i w:val="false"/>
          <w:color w:val="000000"/>
          <w:sz w:val="22"/>
        </w:rPr>
        <w:t xml:space="preserve">When a licensee appears to be in violation of mandatory continuing education under </w:t>
      </w:r>
      <w:hyperlink r:id="rId10">
        <w:r>
          <w:rPr>
            <w:rStyle w:val="Hyperlink"/>
            <w:rFonts w:ascii="Times New Roman" w:hAnsi="Times New Roman"/>
            <w:b w:val="false"/>
            <w:i w:val="false"/>
            <w:color w:val="000000"/>
            <w:sz w:val="22"/>
          </w:rPr>
          <w:t>481—Chapter 1051</w:t>
        </w:r>
      </w:hyperlink>
      <w:r>
        <w:rPr>
          <w:rFonts w:ascii="Times New Roman" w:hAnsi="Times New Roman"/>
          <w:b w:val="false"/>
          <w:i w:val="false"/>
          <w:color w:val="000000"/>
          <w:sz w:val="22"/>
        </w:rPr>
        <w:t xml:space="preserve">, the board may, in lieu of proceeding to a contested case hearing on the denial of renewal as provided in uniform division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a consent order will be tailored to the specific circumstances at issue, the consent order will typically impose a penalty between $50 and $250, depending on the severity of the violation, and establish deadlines for compliance, and the consent order may impose additional educational requirements upon the licensee. A licensee is free to accept or reject the offer. If the offer of settlement is accepted, the licensee will be issued a renewed certificate of licensure and, if the terms of the consent order are not complied with, will be subject to disciplinary action. If the offer of settlement is rejected, the matter will be set for hearing, if timely requested by the applicant pursuant to uniform division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1047.4(11)</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Licensees who are not engaged in engineering or land surveying practices that require licensure in Iowa may be granted inactive status. No inactive licensee may practice in Iowa unless otherwise exempted in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481—1047.5</w:t>
      </w:r>
      <w:r>
        <w:rPr>
          <w:rFonts w:ascii="Times New Roman" w:hAnsi="Times New Roman"/>
          <w:b/>
          <w:i w:val="false"/>
          <w:color w:val="000000"/>
          <w:sz w:val="22"/>
        </w:rPr>
        <w:t xml:space="preserve">(542B) </w:t>
      </w:r>
      <w:r>
        <w:rPr>
          <w:rFonts w:ascii="Times New Roman" w:hAnsi="Times New Roman"/>
          <w:b/>
          <w:i w:val="false"/>
          <w:color w:val="000000"/>
          <w:sz w:val="22"/>
        </w:rPr>
        <w:t xml:space="preserve">Reinstatement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one year or more, the applicant for reinstatement must pay the fee under rule </w:t>
      </w:r>
      <w:hyperlink r:id="rId14">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45 professional development hours achieved within the current and previous biennium (dual licensees must provide documentation of 30 professional development hours for each profession);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during the period that the licensee’s Iowa license was lapsed. An applicant for reinstatement whose resident state has no mandatory continuing education shall comply with the documented evidence as outlined in this subrule and at </w:t>
      </w:r>
      <w:hyperlink r:id="rId15">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less than one year, the applicant for reinstatement must pay the fee under rule </w:t>
      </w:r>
      <w:hyperlink r:id="rId16">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30 professional development hours achieved within the current and previous biennium (dual licensees must provide documentation of 20 professional development hours for each profession). Professional development hours used for reinstatement shall not be reused at the next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requirement during the period that the licensee’s Iowa license was lapsed. The statement shall bear the seal of the licensing board. An applicant for reinstatement whose resident state has no mandatory continuing education requirement shall comply with the documented evidence requirement as outlined in this subrule and at </w:t>
      </w:r>
      <w:hyperlink r:id="rId17">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1047.5(3)</w:t>
      </w:r>
      <w:r>
        <w:rPr>
          <w:rFonts w:ascii="Times New Roman" w:hAnsi="Times New Roman"/>
          <w:b w:val="false"/>
          <w:i w:val="false"/>
          <w:color w:val="000000"/>
          <w:sz w:val="22"/>
        </w:rPr>
        <w:t> </w:t>
      </w:r>
      <w:r>
        <w:rPr>
          <w:rFonts w:ascii="Times New Roman" w:hAnsi="Times New Roman"/>
          <w:b w:val="false"/>
          <w:i w:val="false"/>
          <w:color w:val="000000"/>
          <w:sz w:val="22"/>
        </w:rPr>
        <w:t>A lapsed license may not be reinstated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1047.5(4)</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from inactive status to active status, the applicant for reinstatement must pay the fee under rule </w:t>
      </w:r>
      <w:hyperlink r:id="rId18">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provide documentation of 45 professional development hours achieved within the current and previous biennium (dual licensees must provide documentation of 30 professional development hours for each profession). Professional development hours used for a reinstatement shall not be reused at the next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7754B</w:t>
      </w:r>
      <w:r>
        <w:rPr>
          <w:rFonts w:ascii="Times New Roman" w:hAnsi="Times New Roman"/>
          <w:b w:val="false"/>
          <w:i w:val="false"/>
          <w:color w:val="000000"/>
          <w:sz w:val="21"/>
        </w:rPr>
        <w:t xml:space="preserve"> (Notice ARC 7433B,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9462B</w:t>
      </w:r>
      <w:r>
        <w:rPr>
          <w:rFonts w:ascii="Times New Roman" w:hAnsi="Times New Roman"/>
          <w:b w:val="false"/>
          <w:i w:val="false"/>
          <w:color w:val="000000"/>
          <w:sz w:val="21"/>
        </w:rPr>
        <w:t xml:space="preserve"> (Notice ARC 9369B, IAB 2/9/11)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7666C</w:t>
      </w:r>
      <w:r>
        <w:rPr>
          <w:rFonts w:ascii="Times New Roman" w:hAnsi="Times New Roman"/>
          <w:b w:val="false"/>
          <w:i w:val="false"/>
          <w:color w:val="000000"/>
          <w:sz w:val="21"/>
        </w:rPr>
        <w:t xml:space="preserve"> (Notice ARC 7406C,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2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49.1.pdf" Type="http://schemas.openxmlformats.org/officeDocument/2006/relationships/hyperlink" Id="rId5"/>
    <Relationship TargetMode="External" Target="https://www.legis.iowa.gov/docs/iac/rule/481.1049.3.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chapter/481.506.pdf" Type="http://schemas.openxmlformats.org/officeDocument/2006/relationships/hyperlink" Id="rId8"/>
    <Relationship TargetMode="External" Target="https://www.legis.iowa.gov/docs/iac/rule/481.1047.4.pdf" Type="http://schemas.openxmlformats.org/officeDocument/2006/relationships/hyperlink" Id="rId9"/>
    <Relationship TargetMode="External" Target="https://www.legis.iowa.gov/docs/iac/chapter/481.1051.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ac/rule/481.1046.1.pdf" Type="http://schemas.openxmlformats.org/officeDocument/2006/relationships/hyperlink" Id="rId14"/>
    <Relationship TargetMode="External" Target="https://www.legis.iowa.gov/docs/iac/rule/481.1051.8.pdf" Type="http://schemas.openxmlformats.org/officeDocument/2006/relationships/hyperlink" Id="rId15"/>
    <Relationship TargetMode="External" Target="https://www.legis.iowa.gov/docs/iac/rule/481.1046.1.pdf" Type="http://schemas.openxmlformats.org/officeDocument/2006/relationships/hyperlink" Id="rId16"/>
    <Relationship TargetMode="External" Target="https://www.legis.iowa.gov/docs/iac/rule/481.1051.8.pdf" Type="http://schemas.openxmlformats.org/officeDocument/2006/relationships/hyperlink" Id="rId17"/>
    <Relationship TargetMode="External" Target="https://www.legis.iowa.gov/docs/iac/rule/481.1046.1.pdf" Type="http://schemas.openxmlformats.org/officeDocument/2006/relationships/hyperlink" Id="rId18"/>
    <Relationship TargetMode="External" Target="https://www.legis.iowa.gov/docs/ico/chapter/272C.2.pdf" Type="http://schemas.openxmlformats.org/officeDocument/2006/relationships/hyperlink" Id="rId19"/>
    <Relationship TargetMode="External" Target="https://www.legis.iowa.gov/docs/ico/chapter/272C.3.pdf" Type="http://schemas.openxmlformats.org/officeDocument/2006/relationships/hyperlink" Id="rId20"/>
    <Relationship TargetMode="External" Target="https://www.legis.iowa.gov/docs/ico/chapter/542B.2.pdf" Type="http://schemas.openxmlformats.org/officeDocument/2006/relationships/hyperlink" Id="rId21"/>
    <Relationship TargetMode="External" Target="https://www.legis.iowa.gov/docs/ico/chapter/542B.6.pdf" Type="http://schemas.openxmlformats.org/officeDocument/2006/relationships/hyperlink" Id="rId22"/>
    <Relationship TargetMode="External" Target="https://www.legis.iowa.gov/docs/ico/chapter/542B.13.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co/chapter/542B.15.pdf" Type="http://schemas.openxmlformats.org/officeDocument/2006/relationships/hyperlink" Id="rId25"/>
    <Relationship TargetMode="External" Target="https://www.legis.iowa.gov/docs/ico/chapter/542B.20.pdf" Type="http://schemas.openxmlformats.org/officeDocument/2006/relationships/hyperlink" Id="rId26"/>
    <Relationship TargetMode="External" Target="https://www.legis.iowa.gov/docs/ico/chapter/542B.30.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