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104</w:t>
      </w:r>
    </w:p>
    <w:p>
      <w:pPr>
        <w:spacing w:before="0" w:after="0"/>
        <w:ind w:left="120"/>
        <w:jc w:val="center"/>
      </w:pPr>
      <w:r>
        <w:rPr>
          <w:rFonts w:ascii="Times New Roman" w:hAnsi="Times New Roman"/>
          <w:b w:val="false"/>
          <w:i w:val="false"/>
          <w:color w:val="000000"/>
          <w:sz w:val="21"/>
        </w:rPr>
        <w:t>GENERAL PROVISIONS FOR ALL AMUSEMENT DEVICES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rPr>
          <w:rFonts w:ascii="Times New Roman" w:hAnsi="Times New Roman"/>
          <w:b/>
          <w:i w:val="false"/>
          <w:color w:val="000000"/>
          <w:sz w:val="22"/>
        </w:rPr>
        <w:t>481—104.1</w:t>
      </w:r>
      <w:r>
        <w:rPr>
          <w:rFonts w:ascii="Times New Roman" w:hAnsi="Times New Roman"/>
          <w:b/>
          <w:i w:val="false"/>
          <w:color w:val="000000"/>
          <w:sz w:val="22"/>
        </w:rPr>
        <w:t xml:space="preserve">(10A,99B)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Definitions in rules </w:t>
      </w:r>
      <w:hyperlink r:id="rId5">
        <w:r>
          <w:rPr>
            <w:rStyle w:val="Hyperlink"/>
            <w:rFonts w:ascii="Times New Roman" w:hAnsi="Times New Roman"/>
            <w:b w:val="false"/>
            <w:i w:val="false"/>
            <w:color w:val="000000"/>
            <w:sz w:val="22"/>
          </w:rPr>
          <w:t>481—100.1</w:t>
        </w:r>
      </w:hyperlink>
      <w:r>
        <w:rPr>
          <w:rFonts w:ascii="Times New Roman" w:hAnsi="Times New Roman"/>
          <w:b w:val="false"/>
          <w:i w:val="false"/>
          <w:color w:val="000000"/>
          <w:sz w:val="22"/>
        </w:rPr>
        <w:t xml:space="preserve">(10A,99B) and </w:t>
      </w:r>
      <w:hyperlink r:id="rId6">
        <w:r>
          <w:rPr>
            <w:rStyle w:val="Hyperlink"/>
            <w:rFonts w:ascii="Times New Roman" w:hAnsi="Times New Roman"/>
            <w:b w:val="false"/>
            <w:i w:val="false"/>
            <w:color w:val="000000"/>
            <w:sz w:val="22"/>
          </w:rPr>
          <w:t>481—105.1</w:t>
        </w:r>
      </w:hyperlink>
      <w:r>
        <w:rPr>
          <w:rFonts w:ascii="Times New Roman" w:hAnsi="Times New Roman"/>
          <w:b w:val="false"/>
          <w:i w:val="false"/>
          <w:color w:val="000000"/>
          <w:sz w:val="22"/>
        </w:rPr>
        <w:t>(10A,99B) are incorporated by reference in this chapter, along with the following 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“Amusement device”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99B.1(2)</w:t>
        </w:r>
      </w:hyperlink>
      <w:r>
        <w:rPr>
          <w:rFonts w:ascii="Times New Roman" w:hAnsi="Times New Roman"/>
          <w:b w:val="false"/>
          <w:i w:val="false"/>
          <w:color w:val="000000"/>
          <w:sz w:val="22"/>
        </w:rPr>
        <w:t xml:space="preserve">. An amusement device is not a device that plays poker, blackjack, roulette, or keno. Devices specified in Iowa Code section </w:t>
      </w:r>
      <w:hyperlink r:id="rId8">
        <w:r>
          <w:rPr>
            <w:rStyle w:val="Hyperlink"/>
            <w:rFonts w:ascii="Times New Roman" w:hAnsi="Times New Roman"/>
            <w:b w:val="false"/>
            <w:i w:val="false"/>
            <w:color w:val="000000"/>
            <w:sz w:val="22"/>
          </w:rPr>
          <w:t>725.9</w:t>
        </w:r>
      </w:hyperlink>
      <w:r>
        <w:rPr>
          <w:rFonts w:ascii="Times New Roman" w:hAnsi="Times New Roman"/>
          <w:b w:val="false"/>
          <w:i w:val="false"/>
          <w:color w:val="000000"/>
          <w:sz w:val="22"/>
        </w:rPr>
        <w:t xml:space="preserve"> as gambling devices are not amusement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“Gambling device”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725.9(2)</w:t>
        </w:r>
      </w:hyperlink>
      <w:r>
        <w:rPr>
          <w:rFonts w:ascii="Times New Roman" w:hAnsi="Times New Roman"/>
          <w:b w:val="false"/>
          <w:i w:val="false"/>
          <w:color w:val="000000"/>
          <w:sz w:val="22"/>
        </w:rPr>
        <w:t xml:space="preserve"> and does not include devices that do not comply with Iowa Code chapter </w:t>
      </w:r>
      <w:hyperlink r:id="rId10">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“Knock-off switch”</w:t>
      </w:r>
      <w:r>
        <w:rPr>
          <w:rFonts w:ascii="Times New Roman" w:hAnsi="Times New Roman"/>
          <w:b w:val="false"/>
          <w:i w:val="false"/>
          <w:color w:val="000000"/>
          <w:sz w:val="22"/>
        </w:rPr>
        <w:t> </w:t>
      </w:r>
      <w:r>
        <w:rPr>
          <w:rFonts w:ascii="Times New Roman" w:hAnsi="Times New Roman"/>
          <w:b w:val="false"/>
          <w:i w:val="false"/>
          <w:color w:val="000000"/>
          <w:sz w:val="22"/>
        </w:rPr>
        <w:t>means a mechanism or other method that releases free games or credits accumulated toward the award of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“Prize”</w:t>
      </w:r>
      <w:r>
        <w:rPr>
          <w:rFonts w:ascii="Times New Roman" w:hAnsi="Times New Roman"/>
          <w:b w:val="false"/>
          <w:i w:val="false"/>
          <w:color w:val="000000"/>
          <w:sz w:val="22"/>
        </w:rPr>
        <w:t> </w:t>
      </w:r>
      <w:r>
        <w:rPr>
          <w:rFonts w:ascii="Times New Roman" w:hAnsi="Times New Roman"/>
          <w:b w:val="false"/>
          <w:i w:val="false"/>
          <w:color w:val="000000"/>
          <w:sz w:val="22"/>
        </w:rPr>
        <w:t>means a ticket(s) or token(s) that is dispensed by an amusement device as an award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“Progressive games”</w:t>
      </w:r>
      <w:r>
        <w:rPr>
          <w:rFonts w:ascii="Times New Roman" w:hAnsi="Times New Roman"/>
          <w:b w:val="false"/>
          <w:i w:val="false"/>
          <w:color w:val="000000"/>
          <w:sz w:val="22"/>
        </w:rPr>
        <w:t> </w:t>
      </w:r>
      <w:r>
        <w:rPr>
          <w:rFonts w:ascii="Times New Roman" w:hAnsi="Times New Roman"/>
          <w:b w:val="false"/>
          <w:i w:val="false"/>
          <w:color w:val="000000"/>
          <w:sz w:val="22"/>
        </w:rPr>
        <w:t>means games in which the value of the prizes increases an incremental amount with each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“Slot machine”</w:t>
      </w:r>
      <w:r>
        <w:rPr>
          <w:rFonts w:ascii="Times New Roman" w:hAnsi="Times New Roman"/>
          <w:b w:val="false"/>
          <w:i w:val="false"/>
          <w:color w:val="000000"/>
          <w:sz w:val="22"/>
        </w:rPr>
        <w:t> </w:t>
      </w:r>
      <w:r>
        <w:rPr>
          <w:rFonts w:ascii="Times New Roman" w:hAnsi="Times New Roman"/>
          <w:b w:val="false"/>
          <w:i w:val="false"/>
          <w:color w:val="000000"/>
          <w:sz w:val="22"/>
        </w:rPr>
        <w:t>means a mechanical, electronic, or video gambling device into which a player deposits coins, tokens or currency and from which certain credits, tickets, tokens or coins are paid out when a particular, random configuration of symbols appears on the reels, simulated reels, or screen of the device. The slot machine may have a lever, buttons, or other means to activate or stop the play.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0016D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481—104.2</w:t>
      </w:r>
      <w:r>
        <w:rPr>
          <w:rFonts w:ascii="Times New Roman" w:hAnsi="Times New Roman"/>
          <w:b/>
          <w:i w:val="false"/>
          <w:color w:val="000000"/>
          <w:sz w:val="22"/>
        </w:rPr>
        <w:t xml:space="preserve">(99B) </w:t>
      </w:r>
      <w:r>
        <w:rPr>
          <w:rFonts w:ascii="Times New Roman" w:hAnsi="Times New Roman"/>
          <w:b/>
          <w:i w:val="false"/>
          <w:color w:val="000000"/>
          <w:sz w:val="22"/>
        </w:rPr>
        <w:t xml:space="preserve">Device restrictions. </w:t>
      </w:r>
      <w:r>
        <w:rPr>
          <w:rFonts w:ascii="Times New Roman" w:hAnsi="Times New Roman"/>
          <w:b w:val="false"/>
          <w:i w:val="false"/>
          <w:color w:val="000000"/>
          <w:sz w:val="22"/>
        </w:rPr>
        <w:t xml:space="preserve">All amusement devices shall comply with Iowa Code section </w:t>
      </w:r>
      <w:hyperlink r:id="rId11">
        <w:r>
          <w:rPr>
            <w:rStyle w:val="Hyperlink"/>
            <w:rFonts w:ascii="Times New Roman" w:hAnsi="Times New Roman"/>
            <w:b w:val="false"/>
            <w:i w:val="false"/>
            <w:color w:val="000000"/>
            <w:sz w:val="22"/>
          </w:rPr>
          <w:t>99B.52</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104.2(1)</w:t>
      </w:r>
      <w:r>
        <w:rPr>
          <w:rFonts w:ascii="Times New Roman" w:hAnsi="Times New Roman"/>
          <w:b w:val="false"/>
          <w:i w:val="false"/>
          <w:color w:val="000000"/>
          <w:sz w:val="22"/>
        </w:rPr>
        <w:t> </w:t>
      </w:r>
      <w:r>
        <w:rPr>
          <w:rFonts w:ascii="Times New Roman" w:hAnsi="Times New Roman"/>
          <w:b w:val="false"/>
          <w:i w:val="false"/>
          <w:color w:val="000000"/>
          <w:sz w:val="22"/>
        </w:rPr>
        <w:t>The device will be electrical, which includes both electronic and video, or mechanical, or a combination of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104.2(2)</w:t>
      </w:r>
      <w:r>
        <w:rPr>
          <w:rFonts w:ascii="Times New Roman" w:hAnsi="Times New Roman"/>
          <w:b w:val="false"/>
          <w:i w:val="false"/>
          <w:color w:val="000000"/>
          <w:sz w:val="22"/>
        </w:rPr>
        <w:t> </w:t>
      </w:r>
      <w:r>
        <w:rPr>
          <w:rFonts w:ascii="Times New Roman" w:hAnsi="Times New Roman"/>
          <w:b w:val="false"/>
          <w:i w:val="false"/>
          <w:color w:val="000000"/>
          <w:sz w:val="22"/>
        </w:rPr>
        <w:t>The device will not be designed or adapted to issue or pay coins or currency.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104.2(3)</w:t>
      </w:r>
      <w:r>
        <w:rPr>
          <w:rFonts w:ascii="Times New Roman" w:hAnsi="Times New Roman"/>
          <w:b w:val="false"/>
          <w:i w:val="false"/>
          <w:color w:val="000000"/>
          <w:sz w:val="22"/>
        </w:rPr>
        <w:t> </w:t>
      </w:r>
      <w:r>
        <w:rPr>
          <w:rFonts w:ascii="Times New Roman" w:hAnsi="Times New Roman"/>
          <w:b w:val="false"/>
          <w:i w:val="false"/>
          <w:color w:val="000000"/>
          <w:sz w:val="22"/>
        </w:rPr>
        <w:t>The device may be designed or adapted to award merchandise or tickets or tokens redeemable for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104.2(4)</w:t>
      </w:r>
      <w:r>
        <w:rPr>
          <w:rFonts w:ascii="Times New Roman" w:hAnsi="Times New Roman"/>
          <w:b w:val="false"/>
          <w:i w:val="false"/>
          <w:color w:val="000000"/>
          <w:sz w:val="22"/>
        </w:rPr>
        <w:t> </w:t>
      </w:r>
      <w:r>
        <w:rPr>
          <w:rFonts w:ascii="Times New Roman" w:hAnsi="Times New Roman"/>
          <w:b w:val="false"/>
          <w:i w:val="false"/>
          <w:color w:val="000000"/>
          <w:sz w:val="22"/>
        </w:rPr>
        <w:t>The device may be designed or adapted to issue tickets or tokens except tickets or tokens that may be used to play any device or game.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104.2(5)</w:t>
      </w:r>
      <w:r>
        <w:rPr>
          <w:rFonts w:ascii="Times New Roman" w:hAnsi="Times New Roman"/>
          <w:b w:val="false"/>
          <w:i w:val="false"/>
          <w:color w:val="000000"/>
          <w:sz w:val="22"/>
        </w:rPr>
        <w:t> </w:t>
      </w:r>
      <w:r>
        <w:rPr>
          <w:rFonts w:ascii="Times New Roman" w:hAnsi="Times New Roman"/>
          <w:b w:val="false"/>
          <w:i w:val="false"/>
          <w:color w:val="000000"/>
          <w:sz w:val="22"/>
        </w:rPr>
        <w:t>The device will not have a knock-off switch. Credits may be released by the insertion of coins, currency, or tokens to activate a new game. Free games may only be utilized for playing the device and not released in any other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104.2(6)</w:t>
      </w:r>
      <w:r>
        <w:rPr>
          <w:rFonts w:ascii="Times New Roman" w:hAnsi="Times New Roman"/>
          <w:b w:val="false"/>
          <w:i w:val="false"/>
          <w:color w:val="000000"/>
          <w:sz w:val="22"/>
        </w:rPr>
        <w:t> </w:t>
      </w:r>
      <w:r>
        <w:rPr>
          <w:rFonts w:ascii="Times New Roman" w:hAnsi="Times New Roman"/>
          <w:b w:val="false"/>
          <w:i w:val="false"/>
          <w:color w:val="000000"/>
          <w:sz w:val="22"/>
        </w:rPr>
        <w:t>The device will be designed or adapted to accept only coins, currency, or tokens to play the game.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0016D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481—104.3</w:t>
      </w:r>
      <w:r>
        <w:rPr>
          <w:rFonts w:ascii="Times New Roman" w:hAnsi="Times New Roman"/>
          <w:b/>
          <w:i w:val="false"/>
          <w:color w:val="000000"/>
          <w:sz w:val="22"/>
        </w:rPr>
        <w:t xml:space="preserve">(99B) </w:t>
      </w:r>
      <w:r>
        <w:rPr>
          <w:rFonts w:ascii="Times New Roman" w:hAnsi="Times New Roman"/>
          <w:b/>
          <w:i w:val="false"/>
          <w:color w:val="000000"/>
          <w:sz w:val="22"/>
        </w:rPr>
        <w:t xml:space="preserve">Prohibited games/devices.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104.3(1)</w:t>
      </w:r>
      <w:r>
        <w:rPr>
          <w:rFonts w:ascii="Times New Roman" w:hAnsi="Times New Roman"/>
          <w:b w:val="false"/>
          <w:i w:val="false"/>
          <w:color w:val="000000"/>
          <w:sz w:val="22"/>
        </w:rPr>
        <w:t> </w:t>
      </w:r>
      <w:r>
        <w:rPr>
          <w:rFonts w:ascii="Times New Roman" w:hAnsi="Times New Roman"/>
          <w:b w:val="false"/>
          <w:i w:val="false"/>
          <w:color w:val="000000"/>
          <w:sz w:val="22"/>
        </w:rPr>
        <w:t>The following games or devices are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Gambling games permitted in Iowa Code chapter </w:t>
      </w:r>
      <w:hyperlink r:id="rId12">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machine that does not conform to the requirements in these rules or Iowa Code chapter </w:t>
      </w:r>
      <w:hyperlink r:id="rId13">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machine designed like or resembling a machine that is normally used for casino-type gambling.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Amusement devices designed or adapted to facilitate gambling.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Progressive games.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104.3(2)</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does not prohibit the possession of antique slot machines when possessed pursuant to Iowa Code chapter </w:t>
      </w:r>
      <w:hyperlink r:id="rId14">
        <w:r>
          <w:rPr>
            <w:rStyle w:val="Hyperlink"/>
            <w:rFonts w:ascii="Times New Roman" w:hAnsi="Times New Roman"/>
            <w:b w:val="false"/>
            <w:i w:val="false"/>
            <w:color w:val="000000"/>
            <w:sz w:val="22"/>
          </w:rPr>
          <w:t>725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0016D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481—104.4</w:t>
      </w:r>
      <w:r>
        <w:rPr>
          <w:rFonts w:ascii="Times New Roman" w:hAnsi="Times New Roman"/>
          <w:b/>
          <w:i w:val="false"/>
          <w:color w:val="000000"/>
          <w:sz w:val="22"/>
        </w:rPr>
        <w:t xml:space="preserve">(99B) </w:t>
      </w:r>
      <w:r>
        <w:rPr>
          <w:rFonts w:ascii="Times New Roman" w:hAnsi="Times New Roman"/>
          <w:b/>
          <w:i w:val="false"/>
          <w:color w:val="000000"/>
          <w:sz w:val="22"/>
        </w:rPr>
        <w:t xml:space="preserve">Prizes. </w:t>
      </w:r>
      <w:r>
        <w:rPr>
          <w:rFonts w:ascii="Times New Roman" w:hAnsi="Times New Roman"/>
          <w:b w:val="false"/>
          <w:i w:val="false"/>
          <w:color w:val="000000"/>
          <w:sz w:val="22"/>
        </w:rPr>
        <w:t>Prizes not to exceed a retail value of $50 per play or game may be awarded for use of an amusement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104.4(1)</w:t>
      </w:r>
      <w:r>
        <w:rPr>
          <w:rFonts w:ascii="Times New Roman" w:hAnsi="Times New Roman"/>
          <w:b w:val="false"/>
          <w:i w:val="false"/>
          <w:color w:val="000000"/>
          <w:sz w:val="22"/>
        </w:rPr>
        <w:t> </w:t>
      </w:r>
      <w:r>
        <w:rPr>
          <w:rFonts w:ascii="Times New Roman" w:hAnsi="Times New Roman"/>
          <w:b w:val="false"/>
          <w:i w:val="false"/>
          <w:color w:val="000000"/>
          <w:sz w:val="22"/>
        </w:rPr>
        <w:t>Merchandise with a retail value of no more than $50 per transaction may be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104.4(2)</w:t>
      </w:r>
      <w:r>
        <w:rPr>
          <w:rFonts w:ascii="Times New Roman" w:hAnsi="Times New Roman"/>
          <w:b w:val="false"/>
          <w:i w:val="false"/>
          <w:color w:val="000000"/>
          <w:sz w:val="22"/>
        </w:rPr>
        <w:t> </w:t>
      </w:r>
      <w:r>
        <w:rPr>
          <w:rFonts w:ascii="Times New Roman" w:hAnsi="Times New Roman"/>
          <w:b w:val="false"/>
          <w:i w:val="false"/>
          <w:color w:val="000000"/>
          <w:sz w:val="22"/>
        </w:rPr>
        <w:t>One or more free games may be awarded by the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104.4(3)</w:t>
      </w:r>
      <w:r>
        <w:rPr>
          <w:rFonts w:ascii="Times New Roman" w:hAnsi="Times New Roman"/>
          <w:b w:val="false"/>
          <w:i w:val="false"/>
          <w:color w:val="000000"/>
          <w:sz w:val="22"/>
        </w:rPr>
        <w:t> </w:t>
      </w:r>
      <w:r>
        <w:rPr>
          <w:rFonts w:ascii="Times New Roman" w:hAnsi="Times New Roman"/>
          <w:b w:val="false"/>
          <w:i w:val="false"/>
          <w:color w:val="000000"/>
          <w:sz w:val="22"/>
        </w:rPr>
        <w:t>If the device is designed or adapted to issue tickets or tokens,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Tickets or tokens will not be used to purchase or play a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Tickets or tokens will not be redeemed for coins or currency.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Tickets or tokens may be redeemed for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Tickets or tokens may be accumulated to the maximum allowable prize limit per play or game to purchase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Tickets or tokens may be redeemed for food and beverage.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entire amount of the ticket or token issued by the amusement device is not redeemed for merchandise, the balance will not be redeemed for cash.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Tickets or tokens will only be redeemed on the premises where the amusement device is located and only for merchandise sold in the normal course of business on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104.4(4)</w:t>
      </w:r>
      <w:r>
        <w:rPr>
          <w:rFonts w:ascii="Times New Roman" w:hAnsi="Times New Roman"/>
          <w:b w:val="false"/>
          <w:i w:val="false"/>
          <w:color w:val="000000"/>
          <w:sz w:val="22"/>
        </w:rPr>
        <w:t> </w:t>
      </w:r>
      <w:r>
        <w:rPr>
          <w:rFonts w:ascii="Times New Roman" w:hAnsi="Times New Roman"/>
          <w:b w:val="false"/>
          <w:i w:val="false"/>
          <w:color w:val="000000"/>
          <w:sz w:val="22"/>
        </w:rPr>
        <w:t>Merchandise prizes shall not be repurchased.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0016D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481—104.5</w:t>
      </w:r>
      <w:r>
        <w:rPr>
          <w:rFonts w:ascii="Times New Roman" w:hAnsi="Times New Roman"/>
          <w:b/>
          <w:i w:val="false"/>
          <w:color w:val="000000"/>
          <w:sz w:val="22"/>
        </w:rPr>
        <w:t xml:space="preserve">(99B) </w:t>
      </w:r>
      <w:r>
        <w:rPr>
          <w:rFonts w:ascii="Times New Roman" w:hAnsi="Times New Roman"/>
          <w:b/>
          <w:i w:val="false"/>
          <w:color w:val="000000"/>
          <w:sz w:val="22"/>
        </w:rPr>
        <w:t xml:space="preserve">Registration. </w:t>
      </w:r>
      <w:r>
        <w:rPr>
          <w:rFonts w:ascii="Times New Roman" w:hAnsi="Times New Roman"/>
          <w:b w:val="false"/>
          <w:i w:val="false"/>
          <w:color w:val="000000"/>
          <w:sz w:val="22"/>
        </w:rPr>
        <w:t xml:space="preserve">An amusement device must be registered in compliance with Iowa Code section </w:t>
      </w:r>
      <w:hyperlink r:id="rId15">
        <w:r>
          <w:rPr>
            <w:rStyle w:val="Hyperlink"/>
            <w:rFonts w:ascii="Times New Roman" w:hAnsi="Times New Roman"/>
            <w:b w:val="false"/>
            <w:i w:val="false"/>
            <w:color w:val="000000"/>
            <w:sz w:val="22"/>
          </w:rPr>
          <w:t>99B.53</w:t>
        </w:r>
      </w:hyperlink>
      <w:r>
        <w:rPr>
          <w:rFonts w:ascii="Times New Roman" w:hAnsi="Times New Roman"/>
          <w:b w:val="false"/>
          <w:i w:val="false"/>
          <w:color w:val="000000"/>
          <w:sz w:val="22"/>
        </w:rPr>
        <w:t xml:space="preserve">. Registration is required if chance plays a role equal to or greater than the players’ skill or knowledge in determining the outcome of the game. Additional licenses or registrations under Iowa Code chapter </w:t>
      </w:r>
      <w:hyperlink r:id="rId16">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are not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0016D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481—104.6</w:t>
      </w:r>
      <w:r>
        <w:rPr>
          <w:rFonts w:ascii="Times New Roman" w:hAnsi="Times New Roman"/>
          <w:b/>
          <w:i w:val="false"/>
          <w:color w:val="000000"/>
          <w:sz w:val="22"/>
        </w:rPr>
        <w:t xml:space="preserve">(99B) </w:t>
      </w:r>
      <w:r>
        <w:rPr>
          <w:rFonts w:ascii="Times New Roman" w:hAnsi="Times New Roman"/>
          <w:b/>
          <w:i w:val="false"/>
          <w:color w:val="000000"/>
          <w:sz w:val="22"/>
        </w:rPr>
        <w:t xml:space="preserve">Violations.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limitations imposed on the use and possession of amusement devices in Iowa Code chapter </w:t>
      </w:r>
      <w:hyperlink r:id="rId17">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constitutes unlawful gambling, which may result in the following consequences: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Conviction for illegal gambling under the provisions of Iowa Code chapter </w:t>
      </w:r>
      <w:hyperlink r:id="rId18">
        <w:r>
          <w:rPr>
            <w:rStyle w:val="Hyperlink"/>
            <w:rFonts w:ascii="Times New Roman" w:hAnsi="Times New Roman"/>
            <w:b w:val="false"/>
            <w:i w:val="false"/>
            <w:color w:val="000000"/>
            <w:sz w:val="22"/>
          </w:rPr>
          <w:t>725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Forfeiture of property under the provisions of Iowa Code chapter </w:t>
      </w:r>
      <w:hyperlink r:id="rId19">
        <w:r>
          <w:rPr>
            <w:rStyle w:val="Hyperlink"/>
            <w:rFonts w:ascii="Times New Roman" w:hAnsi="Times New Roman"/>
            <w:b w:val="false"/>
            <w:i w:val="false"/>
            <w:color w:val="000000"/>
            <w:sz w:val="22"/>
          </w:rPr>
          <w:t>809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104.6(2)</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consequences apply for registered amusement devices pursuant to </w:t>
      </w:r>
      <w:hyperlink r:id="rId20">
        <w:r>
          <w:rPr>
            <w:rStyle w:val="Hyperlink"/>
            <w:rFonts w:ascii="Times New Roman" w:hAnsi="Times New Roman"/>
            <w:b w:val="false"/>
            <w:i w:val="false"/>
            <w:color w:val="000000"/>
            <w:sz w:val="22"/>
          </w:rPr>
          <w:t>481—Chapter 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0016D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481—104.7</w:t>
      </w:r>
      <w:r>
        <w:rPr>
          <w:rFonts w:ascii="Times New Roman" w:hAnsi="Times New Roman"/>
          <w:b/>
          <w:i w:val="false"/>
          <w:color w:val="000000"/>
          <w:sz w:val="22"/>
        </w:rPr>
        <w:t xml:space="preserve">(99B,17A) </w:t>
      </w:r>
      <w:r>
        <w:rPr>
          <w:rFonts w:ascii="Times New Roman" w:hAnsi="Times New Roman"/>
          <w:b/>
          <w:i w:val="false"/>
          <w:color w:val="000000"/>
          <w:sz w:val="22"/>
        </w:rPr>
        <w:t xml:space="preserve">Declaratory orders. </w:t>
      </w:r>
      <w:r>
        <w:rPr>
          <w:rFonts w:ascii="Times New Roman" w:hAnsi="Times New Roman"/>
          <w:b w:val="false"/>
          <w:i w:val="false"/>
          <w:color w:val="000000"/>
          <w:sz w:val="22"/>
        </w:rPr>
        <w:t xml:space="preserve">In addition to the requirements for declaratory orders found in </w:t>
      </w:r>
      <w:hyperlink r:id="rId21">
        <w:r>
          <w:rPr>
            <w:rStyle w:val="Hyperlink"/>
            <w:rFonts w:ascii="Times New Roman" w:hAnsi="Times New Roman"/>
            <w:b w:val="false"/>
            <w:i w:val="false"/>
            <w:color w:val="000000"/>
            <w:sz w:val="22"/>
          </w:rPr>
          <w:t>7—Chapter 2503</w:t>
        </w:r>
      </w:hyperlink>
      <w:r>
        <w:rPr>
          <w:rFonts w:ascii="Times New Roman" w:hAnsi="Times New Roman"/>
          <w:b w:val="false"/>
          <w:i w:val="false"/>
          <w:color w:val="000000"/>
          <w:sz w:val="22"/>
        </w:rPr>
        <w:t>, parties seeking a declaratory order shall file with their petition a written evaluation of the game by an independent gaming laboratory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104.7(1)</w:t>
      </w:r>
      <w:r>
        <w:rPr>
          <w:rFonts w:ascii="Times New Roman" w:hAnsi="Times New Roman"/>
          <w:b w:val="false"/>
          <w:i w:val="false"/>
          <w:color w:val="000000"/>
          <w:sz w:val="22"/>
        </w:rPr>
        <w:t> </w:t>
      </w:r>
      <w:r>
        <w:rPr>
          <w:rFonts w:ascii="Times New Roman" w:hAnsi="Times New Roman"/>
          <w:b w:val="false"/>
          <w:i/>
          <w:color w:val="000000"/>
          <w:sz w:val="22"/>
        </w:rPr>
        <w:t xml:space="preserve">Approved by the department. </w:t>
      </w:r>
      <w:r>
        <w:rPr>
          <w:rFonts w:ascii="Times New Roman" w:hAnsi="Times New Roman"/>
          <w:b w:val="false"/>
          <w:i w:val="false"/>
          <w:color w:val="000000"/>
          <w:sz w:val="22"/>
        </w:rPr>
        <w:t>“Approved by the department” means that the gaming laboratory has submitted its qualifications in writing to the director for review and approval in writing by the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104.7(2)</w:t>
      </w:r>
      <w:r>
        <w:rPr>
          <w:rFonts w:ascii="Times New Roman" w:hAnsi="Times New Roman"/>
          <w:b w:val="false"/>
          <w:i w:val="false"/>
          <w:color w:val="000000"/>
          <w:sz w:val="22"/>
        </w:rPr>
        <w:t> </w:t>
      </w:r>
      <w:r>
        <w:rPr>
          <w:rFonts w:ascii="Times New Roman" w:hAnsi="Times New Roman"/>
          <w:b w:val="false"/>
          <w:i/>
          <w:color w:val="000000"/>
          <w:sz w:val="22"/>
        </w:rPr>
        <w:t xml:space="preserve">Written evaluation—requirements. </w:t>
      </w:r>
      <w:r>
        <w:rPr>
          <w:rFonts w:ascii="Times New Roman" w:hAnsi="Times New Roman"/>
          <w:b w:val="false"/>
          <w:i w:val="false"/>
          <w:color w:val="000000"/>
          <w:sz w:val="22"/>
        </w:rPr>
        <w:t>The independent gaming laboratory’s evaluation must analyze whether chance plays a role equal to or greater than the players’ skill or knowledge in determining the outcome of the game. “Outcome of the game” includes both whether the player correctly solves the puzzle and what prize is awarded.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0016D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2">
        <w:r>
          <w:rPr>
            <w:rStyle w:val="Hyperlink"/>
            <w:rFonts w:ascii="Times New Roman" w:hAnsi="Times New Roman"/>
            <w:b w:val="false"/>
            <w:i w:val="false"/>
            <w:color w:val="000000"/>
            <w:sz w:val="22"/>
          </w:rPr>
          <w:t>99B.1</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99B.2</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99B.51</w:t>
        </w:r>
      </w:hyperlink>
      <w:r>
        <w:rPr>
          <w:rFonts w:ascii="Times New Roman" w:hAnsi="Times New Roman"/>
          <w:b w:val="false"/>
          <w:i w:val="false"/>
          <w:color w:val="000000"/>
          <w:sz w:val="22"/>
        </w:rPr>
        <w:t xml:space="preserve"> through </w:t>
      </w:r>
      <w:hyperlink r:id="rId25">
        <w:r>
          <w:rPr>
            <w:rStyle w:val="Hyperlink"/>
            <w:rFonts w:ascii="Times New Roman" w:hAnsi="Times New Roman"/>
            <w:b w:val="false"/>
            <w:i w:val="false"/>
            <w:color w:val="000000"/>
            <w:sz w:val="22"/>
          </w:rPr>
          <w:t>99B.58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12/2/92 after Notice 10/28/92—published 12/23/92, effective 12/2/92]</w:t>
      </w:r>
    </w:p>
    <w:p>
      <w:pPr>
        <w:spacing w:before="0" w:after="0"/>
        <w:ind w:left="120"/>
        <w:jc w:val="center"/>
      </w:pPr>
      <w:r>
        <w:rPr>
          <w:rFonts w:ascii="Times New Roman" w:hAnsi="Times New Roman"/>
          <w:b w:val="false"/>
          <w:i w:val="false"/>
          <w:color w:val="000000"/>
          <w:sz w:val="21"/>
        </w:rPr>
        <w:t>[Filed 12/17/03, Notice 10/29/03—published 1/7/04, effective 2/11/04</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7/12/05, Notice 5/11/05—published 8/3/05, effective 9/7/05]</w:t>
      </w:r>
    </w:p>
    <w:p>
      <w:pPr>
        <w:spacing w:before="0" w:after="0"/>
        <w:ind w:left="120"/>
        <w:jc w:val="center"/>
      </w:pPr>
      <w:r>
        <w:rPr>
          <w:rFonts w:ascii="Times New Roman" w:hAnsi="Times New Roman"/>
          <w:b w:val="false"/>
          <w:i w:val="false"/>
          <w:color w:val="000000"/>
          <w:sz w:val="21"/>
        </w:rPr>
        <w:t>[Filed emergency 8/8/07—published 8/29/07, effective 9/1/07]</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[Filed ARC 1930C</w:t>
      </w:r>
      <w:r>
        <w:rPr>
          <w:rFonts w:ascii="Times New Roman" w:hAnsi="Times New Roman"/>
          <w:b w:val="false"/>
          <w:i w:val="false"/>
          <w:color w:val="000000"/>
          <w:sz w:val="21"/>
        </w:rPr>
        <w:t xml:space="preserve"> (Notice ARC 1859C,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4015C</w:t>
      </w:r>
      <w:r>
        <w:rPr>
          <w:rFonts w:ascii="Times New Roman" w:hAnsi="Times New Roman"/>
          <w:b w:val="false"/>
          <w:i w:val="false"/>
          <w:color w:val="000000"/>
          <w:sz w:val="21"/>
        </w:rPr>
        <w:t xml:space="preserve"> (Notice ARC 3922C, IAB 8/1/18)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0016D</w:t>
      </w:r>
      <w:r>
        <w:rPr>
          <w:rFonts w:ascii="Times New Roman" w:hAnsi="Times New Roman"/>
          <w:b w:val="false"/>
          <w:i w:val="false"/>
          <w:color w:val="000000"/>
          <w:sz w:val="21"/>
        </w:rPr>
        <w:t xml:space="preserve"> (Notice ARC 9757C, IAB 11/26/25)</w:t>
      </w:r>
      <w:r>
        <w:rPr>
          <w:rFonts w:ascii="Times New Roman" w:hAnsi="Times New Roman"/>
          <w:b w:val="false"/>
          <w:i w:val="false"/>
          <w:color w:val="000000"/>
          <w:sz w:val="21"/>
        </w:rPr>
        <w:t>, IAB 1/21/26, effective 2/25/26]</w:t>
      </w:r>
    </w:p>
    <w:p>
      <w:pPr>
        <w:spacing w:before="0" w:after="0"/>
        <w:ind w:left="120"/>
        <w:jc w:val="center"/>
      </w:pPr>
      <w:r>
        <w:rPr>
          <w:rFonts w:ascii="Times New Roman" w:hAnsi="Times New Roman"/>
          <w:b w:val="false"/>
          <w:i w:val="false"/>
          <w:color w:val="000000"/>
          <w:sz w:val="21"/>
        </w:rPr>
        <w:t>[Editorial change: IAC Supplement 8/5/26]</w:t>
      </w:r>
    </w:p>
    <w:p>
      <w:pPr>
        <w:pBdr>
          <w:bottom w:space="2"/>
        </w:pBdr>
        <w:spacing w:before="0" w:after="0"/>
        <w:ind w:left="120"/>
        <w:jc w:val="both"/>
      </w:pPr>
      <w:r>
        <w:rPr>
          <w:rFonts w:ascii="Times New Roman" w:hAnsi="Times New Roman"/>
          <w:b w:val="false"/>
          <w:i w:val="false"/>
          <w:color w:val="000000"/>
          <w:sz w:val="22"/>
        </w:rPr>
        <w:t>February 11, 2004, effective date of 104.1, definition of “prize,” 104.3“5,” 104.4(3)</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and 104.6“1” delayed 70 days by the Administrative Rules Review Committee at its meeting held February 9, 2004.</w:t>
      </w:r>
    </w:p>
    <w:sectPr>
      <w:footerReference r:id="rId2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100.1.pdf" Type="http://schemas.openxmlformats.org/officeDocument/2006/relationships/hyperlink" Id="rId5"/>
    <Relationship TargetMode="External" Target="https://www.legis.iowa.gov/docs/iac/rule/481.105.1.pdf" Type="http://schemas.openxmlformats.org/officeDocument/2006/relationships/hyperlink" Id="rId6"/>
    <Relationship TargetMode="External" Target="https://www.legis.iowa.gov/docs/ico/chapter/99B.1.pdf" Type="http://schemas.openxmlformats.org/officeDocument/2006/relationships/hyperlink" Id="rId7"/>
    <Relationship TargetMode="External" Target="https://www.legis.iowa.gov/docs/ico/chapter/725.9.pdf" Type="http://schemas.openxmlformats.org/officeDocument/2006/relationships/hyperlink" Id="rId8"/>
    <Relationship TargetMode="External" Target="https://www.legis.iowa.gov/docs/ico/chapter/725.9.pdf" Type="http://schemas.openxmlformats.org/officeDocument/2006/relationships/hyperlink" Id="rId9"/>
    <Relationship TargetMode="External" Target="https://www.legis.iowa.gov/docs/ico/chapter/99B.pdf" Type="http://schemas.openxmlformats.org/officeDocument/2006/relationships/hyperlink" Id="rId10"/>
    <Relationship TargetMode="External" Target="https://www.legis.iowa.gov/docs/ico/chapter/99B.52.pdf" Type="http://schemas.openxmlformats.org/officeDocument/2006/relationships/hyperlink" Id="rId11"/>
    <Relationship TargetMode="External" Target="https://www.legis.iowa.gov/docs/ico/chapter/99F.pdf" Type="http://schemas.openxmlformats.org/officeDocument/2006/relationships/hyperlink" Id="rId12"/>
    <Relationship TargetMode="External" Target="https://www.legis.iowa.gov/docs/ico/chapter/99B.pdf" Type="http://schemas.openxmlformats.org/officeDocument/2006/relationships/hyperlink" Id="rId13"/>
    <Relationship TargetMode="External" Target="https://www.legis.iowa.gov/docs/ico/chapter/725.pdf" Type="http://schemas.openxmlformats.org/officeDocument/2006/relationships/hyperlink" Id="rId14"/>
    <Relationship TargetMode="External" Target="https://www.legis.iowa.gov/docs/ico/chapter/99B.53.pdf" Type="http://schemas.openxmlformats.org/officeDocument/2006/relationships/hyperlink" Id="rId15"/>
    <Relationship TargetMode="External" Target="https://www.legis.iowa.gov/docs/ico/chapter/99B.pdf" Type="http://schemas.openxmlformats.org/officeDocument/2006/relationships/hyperlink" Id="rId16"/>
    <Relationship TargetMode="External" Target="https://www.legis.iowa.gov/docs/ico/chapter/99B.pdf" Type="http://schemas.openxmlformats.org/officeDocument/2006/relationships/hyperlink" Id="rId17"/>
    <Relationship TargetMode="External" Target="https://www.legis.iowa.gov/docs/ico/chapter/725.pdf" Type="http://schemas.openxmlformats.org/officeDocument/2006/relationships/hyperlink" Id="rId18"/>
    <Relationship TargetMode="External" Target="https://www.legis.iowa.gov/docs/ico/chapter/809.pdf" Type="http://schemas.openxmlformats.org/officeDocument/2006/relationships/hyperlink" Id="rId19"/>
    <Relationship TargetMode="External" Target="https://www.legis.iowa.gov/docs/iac/chapter/481.105.pdf" Type="http://schemas.openxmlformats.org/officeDocument/2006/relationships/hyperlink" Id="rId20"/>
    <Relationship TargetMode="External" Target="https://www.legis.iowa.gov/docs/iac/chapter/7.2503.pdf" Type="http://schemas.openxmlformats.org/officeDocument/2006/relationships/hyperlink" Id="rId21"/>
    <Relationship TargetMode="External" Target="https://www.legis.iowa.gov/docs/ico/chapter/99B.1.pdf" Type="http://schemas.openxmlformats.org/officeDocument/2006/relationships/hyperlink" Id="rId22"/>
    <Relationship TargetMode="External" Target="https://www.legis.iowa.gov/docs/ico/chapter/99B.2.pdf" Type="http://schemas.openxmlformats.org/officeDocument/2006/relationships/hyperlink" Id="rId23"/>
    <Relationship TargetMode="External" Target="https://www.legis.iowa.gov/docs/ico/chapter/99B.51.pdf" Type="http://schemas.openxmlformats.org/officeDocument/2006/relationships/hyperlink" Id="rId24"/>
    <Relationship TargetMode="External" Target="https://www.legis.iowa.gov/docs/ico/chapter/99B.58.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