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1038</w:t>
      </w:r>
    </w:p>
    <w:p>
      <w:pPr>
        <w:spacing w:before="0" w:after="0"/>
        <w:ind w:left="120"/>
        <w:jc w:val="center"/>
      </w:pPr>
      <w:r>
        <w:rPr>
          <w:rFonts w:ascii="Times New Roman" w:hAnsi="Times New Roman"/>
          <w:b w:val="false"/>
          <w:i w:val="false"/>
          <w:color w:val="000000"/>
          <w:sz w:val="21"/>
        </w:rPr>
        <w:t>LICENSEES’ DUTY TO REPORT</w:t>
      </w:r>
    </w:p>
    <w:p>
      <w:pPr>
        <w:spacing w:before="0" w:after="0"/>
        <w:ind w:left="120"/>
        <w:jc w:val="center"/>
      </w:pPr>
      <w:r>
        <w:rPr>
          <w:rFonts w:ascii="Times New Roman" w:hAnsi="Times New Roman"/>
          <w:b w:val="false"/>
          <w:i w:val="false"/>
          <w:color w:val="000000"/>
          <w:sz w:val="20"/>
        </w:rPr>
        <w:t>[Prior to 5/1/02, see 193A—Chapter 15]</w:t>
      </w:r>
    </w:p>
    <w:p>
      <w:pPr>
        <w:spacing w:before="0" w:after="0"/>
        <w:ind w:left="120"/>
        <w:jc w:val="center"/>
      </w:pPr>
      <w:r>
        <w:rPr>
          <w:rFonts w:ascii="Times New Roman" w:hAnsi="Times New Roman"/>
          <w:b w:val="false"/>
          <w:i w:val="false"/>
          <w:color w:val="000000"/>
          <w:sz w:val="20"/>
        </w:rPr>
        <w:t>[Prior to 6/10/26, see Accountancy Examining Board[193A] 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481—1038.1</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Reporting acts or omissions committed by licensees.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firm licensed by the board has a duty to report under Iowa Code section </w:t>
      </w:r>
      <w:hyperlink r:id="rId5">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The failure to perform an engagement for a client in accordance with professional standards may demonstrate a lack of qualifications by a licensee or firm. These professional standards are set forth in </w:t>
      </w:r>
      <w:hyperlink r:id="rId6">
        <w:r>
          <w:rPr>
            <w:rStyle w:val="Hyperlink"/>
            <w:rFonts w:ascii="Times New Roman" w:hAnsi="Times New Roman"/>
            <w:b w:val="false"/>
            <w:i w:val="false"/>
            <w:color w:val="000000"/>
            <w:sz w:val="22"/>
          </w:rPr>
          <w:t>481—Chapter 1033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observes an act or omission referenced in subrule </w:t>
      </w:r>
      <w:hyperlink r:id="rId7">
        <w:r>
          <w:rPr>
            <w:rStyle w:val="Hyperlink"/>
            <w:rFonts w:ascii="Times New Roman" w:hAnsi="Times New Roman"/>
            <w:b w:val="false"/>
            <w:i w:val="false"/>
            <w:color w:val="000000"/>
            <w:sz w:val="22"/>
          </w:rPr>
          <w:t>1038.1(1)</w:t>
        </w:r>
      </w:hyperlink>
      <w:r>
        <w:rPr>
          <w:rFonts w:ascii="Times New Roman" w:hAnsi="Times New Roman"/>
          <w:b w:val="false"/>
          <w:i w:val="false"/>
          <w:color w:val="000000"/>
          <w:sz w:val="22"/>
        </w:rPr>
        <w:t>, the licensee is obligated to report the violation in writing to the board office, setting forth the name of the licensee alleged to have committed the violation and the rule(s) violated, together with a copy of all material that evidences the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481—1038.2</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Reporting judgments and settlements alleging malpractice.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have a duty to report under Iowa Code section </w:t>
      </w:r>
      <w:hyperlink r:id="rId8">
        <w:r>
          <w:rPr>
            <w:rStyle w:val="Hyperlink"/>
            <w:rFonts w:ascii="Times New Roman" w:hAnsi="Times New Roman"/>
            <w:b w:val="false"/>
            <w:i w:val="false"/>
            <w:color w:val="000000"/>
            <w:sz w:val="22"/>
          </w:rPr>
          <w:t>272C.9(3)</w:t>
        </w:r>
      </w:hyperlink>
      <w:r>
        <w:rPr>
          <w:rFonts w:ascii="Times New Roman" w:hAnsi="Times New Roman"/>
          <w:b w:val="false"/>
          <w:i w:val="false"/>
          <w:color w:val="000000"/>
          <w:sz w:val="22"/>
        </w:rPr>
        <w:t>. For the purposes of this rule, malpractice actions brought against a firm licensed by the board will be deemed to have been brought against both the firm and the firm’s owners (e.g., partners, shareholders, or members) who performed the services that led to the malpractice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1038.2(2)</w:t>
      </w:r>
      <w:r>
        <w:rPr>
          <w:rFonts w:ascii="Times New Roman" w:hAnsi="Times New Roman"/>
          <w:b w:val="false"/>
          <w:i w:val="false"/>
          <w:color w:val="000000"/>
          <w:sz w:val="22"/>
        </w:rPr>
        <w:t> </w:t>
      </w:r>
      <w:r>
        <w:rPr>
          <w:rFonts w:ascii="Times New Roman" w:hAnsi="Times New Roman"/>
          <w:b w:val="false"/>
          <w:i w:val="false"/>
          <w:color w:val="000000"/>
          <w:sz w:val="22"/>
        </w:rPr>
        <w:t>When a licensee is a party to an adverse judgment resulting from a professional malpractice action or is a party to a settlement of a claim resulting from an allegation of malpractice, the licensee has an obligation to file a report in writing forwarded to the board office, setting forth the name and address of the client, the date the claim was originally made, a brief description of the circumstances precipitating the claim and a copy of the judgment or settlement agreement resulting from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481—1038.3</w:t>
      </w:r>
      <w:r>
        <w:rPr>
          <w:rFonts w:ascii="Times New Roman" w:hAnsi="Times New Roman"/>
          <w:b/>
          <w:i w:val="false"/>
          <w:color w:val="000000"/>
          <w:sz w:val="22"/>
        </w:rPr>
        <w:t xml:space="preserve">(272C,542) </w:t>
      </w:r>
      <w:r>
        <w:rPr>
          <w:rFonts w:ascii="Times New Roman" w:hAnsi="Times New Roman"/>
          <w:b/>
          <w:i w:val="false"/>
          <w:color w:val="000000"/>
          <w:sz w:val="22"/>
        </w:rPr>
        <w:t xml:space="preserve">Timely reporting. </w:t>
      </w:r>
      <w:r>
        <w:rPr>
          <w:rFonts w:ascii="Times New Roman" w:hAnsi="Times New Roman"/>
          <w:b w:val="false"/>
          <w:i w:val="false"/>
          <w:color w:val="000000"/>
          <w:sz w:val="22"/>
        </w:rPr>
        <w:t>The reports under this chapter are to be forwarded to the board within 30 days from the initial receipt of the information giving rise to the reporting obligation.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481—1038.4</w:t>
      </w:r>
      <w:r>
        <w:rPr>
          <w:rFonts w:ascii="Times New Roman" w:hAnsi="Times New Roman"/>
          <w:b/>
          <w:i w:val="false"/>
          <w:color w:val="000000"/>
          <w:sz w:val="22"/>
        </w:rPr>
        <w:t xml:space="preserve">(272C,542) </w:t>
      </w:r>
      <w:r>
        <w:rPr>
          <w:rFonts w:ascii="Times New Roman" w:hAnsi="Times New Roman"/>
          <w:b/>
          <w:i w:val="false"/>
          <w:color w:val="000000"/>
          <w:sz w:val="22"/>
        </w:rPr>
        <w:t xml:space="preserve">Failure to make reports. </w:t>
      </w:r>
      <w:r>
        <w:rPr>
          <w:rFonts w:ascii="Times New Roman" w:hAnsi="Times New Roman"/>
          <w:b w:val="false"/>
          <w:i w:val="false"/>
          <w:color w:val="000000"/>
          <w:sz w:val="22"/>
        </w:rPr>
        <w:t>The board may initiate a disciplinary proceeding against any licensee who fails to make a timely report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12/10/91, Notice 10/30/91—published 1/8/92, effective 2/12/92]</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7694C</w:t>
      </w:r>
      <w:r>
        <w:rPr>
          <w:rFonts w:ascii="Times New Roman" w:hAnsi="Times New Roman"/>
          <w:b w:val="false"/>
          <w:i w:val="false"/>
          <w:color w:val="000000"/>
          <w:sz w:val="21"/>
        </w:rPr>
        <w:t xml:space="preserve"> (Notice ARC 7401C,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9.pdf" Type="http://schemas.openxmlformats.org/officeDocument/2006/relationships/hyperlink" Id="rId5"/>
    <Relationship TargetMode="External" Target="https://www.legis.iowa.gov/docs/iac/chapter/481.1033.pdf" Type="http://schemas.openxmlformats.org/officeDocument/2006/relationships/hyperlink" Id="rId6"/>
    <Relationship TargetMode="External" Target="https://www.legis.iowa.gov/docs/iac/rule/481.1038.1.pdf" Type="http://schemas.openxmlformats.org/officeDocument/2006/relationships/hyperlink" Id="rId7"/>
    <Relationship TargetMode="External" Target="https://www.legis.iowa.gov/docs/ico/chapter/272C.9.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2.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