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1036</w:t>
      </w:r>
    </w:p>
    <w:p>
      <w:pPr>
        <w:spacing w:before="0" w:after="0"/>
        <w:ind w:left="120"/>
        <w:jc w:val="center"/>
      </w:pPr>
      <w:r>
        <w:rPr>
          <w:rFonts w:ascii="Times New Roman" w:hAnsi="Times New Roman"/>
          <w:b w:val="false"/>
          <w:i w:val="false"/>
          <w:color w:val="000000"/>
          <w:sz w:val="21"/>
        </w:rPr>
        <w:t>DISCIPLINARY PROCEEDINGS</w:t>
      </w:r>
    </w:p>
    <w:p>
      <w:pPr>
        <w:spacing w:before="0" w:after="0"/>
        <w:ind w:left="120"/>
        <w:jc w:val="center"/>
      </w:pPr>
      <w:r>
        <w:rPr>
          <w:rFonts w:ascii="Times New Roman" w:hAnsi="Times New Roman"/>
          <w:b w:val="false"/>
          <w:i w:val="false"/>
          <w:color w:val="000000"/>
          <w:sz w:val="20"/>
        </w:rPr>
        <w:t>[Prior to 6/10/26, see Accountancy Examining Board[193A]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481—1036.1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majority of a quorum of the board at a public meeting. Board members who are disqualified will be excluded in determining whether a quorum exists. If, for example, two members of the board are disqualified, four members of the board constitutes a quorum of the remaining six board members for purposes of voting on the case in which the two members are disqualified. When three or more members of the board are disqualified or otherwise unavailable for any reason, the administrator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in this chapter, all of the procedures set forth in </w:t>
      </w:r>
      <w:hyperlink r:id="rId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481—1036.3</w:t>
      </w:r>
      <w:r>
        <w:rPr>
          <w:rFonts w:ascii="Times New Roman" w:hAnsi="Times New Roman"/>
          <w:b/>
          <w:i w:val="false"/>
          <w:color w:val="000000"/>
          <w:sz w:val="22"/>
        </w:rPr>
        <w:t xml:space="preserve">(272C,542)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license issued by the board. In the event of a revocation, the licensee is not allowed to remain a member, partner or shareholder of a business entity if the law dictates that all members, partners or shareholders of such an entity be actively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license issued by the board. A CPA or LPA who is under suspension will refrain, during the period of the suspension, from all facets of the ordinary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As a condition to a period of probation, the board may impose terms and conditions deemed appropriate by the board, which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quality review or desk review under the board’s supervision. The licensee will select, subject to approval by the board, a CPA, an LPA, or a firm of CPAs or LPAs. The review cost will be paid by the licensee. The board will be furnished a copy of the report issued by the reviewing party and may order remedial actions or education as a result of the report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enter into an agreement with a CPA, an LPA, or a firm of CPAs or LPAs to obtain a preissuance review of any audits, compilations, or reviews issued by the licensee or other public accounting services performed during the probationary period. The agreement will be preapproved by the board. The board may order the licensee to report regularly concerning the preissuance reviews conducted pursuant to the agreement. Any cost incurred in obtaining preissuance review will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substance abuse evaluation and such care and treatment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that a designated amount of continuing education be taken in specific subjects and may specify the time period for completing these courses. The board may also specify whether that continuing education be in addition to the continuing education routinely necessary for license renewal. The board may also specify that additional continuing education be a condition for the termination of any suspension or reinstatement of a certificate, permit, license, or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Obligate the licensee to undergo reexamination, using one or more parts of the CPA or LPA examination given to candidates for the CPA certificate or the LPA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pursuant to Iowa Code section </w:t>
      </w:r>
      <w:hyperlink r:id="rId8">
        <w:r>
          <w:rPr>
            <w:rStyle w:val="Hyperlink"/>
            <w:rFonts w:ascii="Times New Roman" w:hAnsi="Times New Roman"/>
            <w:b w:val="false"/>
            <w:i w:val="false"/>
            <w:color w:val="000000"/>
            <w:sz w:val="22"/>
          </w:rPr>
          <w:t>542.14(2)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Order the licensee to alter a professional practice or refrain from engaging in a particular act or practice in the future, notify clients of unlicensed or unprofessional conduct, or take such other remedial measures that are appropriate under the public interest and circumstances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Order such alternative discipline as is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licensee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a voluntary surrender is considered disciplinary action and will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1036.3(4)</w:t>
      </w:r>
      <w:r>
        <w:rPr>
          <w:rFonts w:ascii="Times New Roman" w:hAnsi="Times New Roman"/>
          <w:b w:val="false"/>
          <w:i w:val="false"/>
          <w:color w:val="000000"/>
          <w:sz w:val="22"/>
        </w:rPr>
        <w:t> </w:t>
      </w:r>
      <w:r>
        <w:rPr>
          <w:rFonts w:ascii="Times New Roman" w:hAnsi="Times New Roman"/>
          <w:b w:val="false"/>
          <w:i/>
          <w:color w:val="000000"/>
          <w:sz w:val="22"/>
        </w:rPr>
        <w:t xml:space="preserve">Client notification. </w:t>
      </w:r>
      <w:r>
        <w:rPr>
          <w:rFonts w:ascii="Times New Roman" w:hAnsi="Times New Roman"/>
          <w:b w:val="false"/>
          <w:i w:val="false"/>
          <w:color w:val="000000"/>
          <w:sz w:val="22"/>
        </w:rPr>
        <w:t>Whenever a license is revoked, suspended, under probation, or voluntarily surrendered under this chapter,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board’s final order, notify in writing all clients of the fact that the license has been revoked, suspended or voluntarily surrendered or that the licensee is under probation and the subject of compliance terms imposed by the board; for example, the licensee may agree to discontinue governmental audits while the licensee’s license is under probation. Such notice will advise the client to obtain alternative professional services, unless probationary compliance terms at issue would not impact the public accounting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9">
        <w:r>
          <w:rPr>
            <w:rStyle w:val="Hyperlink"/>
            <w:rFonts w:ascii="Times New Roman" w:hAnsi="Times New Roman"/>
            <w:b w:val="false"/>
            <w:i w:val="false"/>
            <w:color w:val="000000"/>
            <w:sz w:val="22"/>
          </w:rPr>
          <w:t>1036.3(4)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paragraph is a condition precedent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481—1036.4</w:t>
      </w:r>
      <w:r>
        <w:rPr>
          <w:rFonts w:ascii="Times New Roman" w:hAnsi="Times New Roman"/>
          <w:b/>
          <w:i w:val="false"/>
          <w:color w:val="000000"/>
          <w:sz w:val="22"/>
        </w:rPr>
        <w:t xml:space="preserve">(272C,542) </w:t>
      </w:r>
      <w:r>
        <w:rPr>
          <w:rFonts w:ascii="Times New Roman" w:hAnsi="Times New Roman"/>
          <w:b/>
          <w:i w:val="false"/>
          <w:color w:val="000000"/>
          <w:sz w:val="22"/>
        </w:rPr>
        <w:t xml:space="preserve">Notification of decisions. </w:t>
      </w:r>
      <w:r>
        <w:rPr>
          <w:rFonts w:ascii="Times New Roman" w:hAnsi="Times New Roman"/>
          <w:b w:val="false"/>
          <w:i w:val="false"/>
          <w:color w:val="000000"/>
          <w:sz w:val="22"/>
        </w:rPr>
        <w:t>The board will notify NASBA of disciplinary action taken against an Iowa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481—1036.5</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10">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includes the reinstatement of a suspended license, the modification or removal of a probationary limitation on a licensee’s practice, the issuance of a license following the denial of an application to renew a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whose license has been revoked, suspended or placed under probation by the board, or who has voluntarily surrendered a license to conclude a disciplinary investigation or proceeding, or whose application to renew a license has been denied may apply to the board to modify or terminate the suspension, issue or reissue the license, or modify or remove the probationary limitations of practice in accordance with Iowa Code section </w:t>
      </w:r>
      <w:hyperlink r:id="rId11">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 xml:space="preserve">, rule </w:t>
      </w:r>
      <w:hyperlink r:id="rId12">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the provisions of this rule, and the terms of the order of revocation, suspension or probation, denial of license renewal, or acceptance of voluntary license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licensee may apply for reinstatement, an initial application for reinstatement may be made after at least one year has elapsed from the date of the order that revoked, suspended or placed under probation the license, denied license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are initiated by the respondent and subject to the procedures set forth in rule </w:t>
      </w:r>
      <w:hyperlink r:id="rId13">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4">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(272C,542).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under probation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the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7692C</w:t>
      </w:r>
      <w:r>
        <w:rPr>
          <w:rFonts w:ascii="Times New Roman" w:hAnsi="Times New Roman"/>
          <w:b w:val="false"/>
          <w:i w:val="false"/>
          <w:color w:val="000000"/>
          <w:sz w:val="21"/>
        </w:rPr>
        <w:t xml:space="preserve"> (Notice ARC 7399C,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481.506.pdf" Type="http://schemas.openxmlformats.org/officeDocument/2006/relationships/hyperlink" Id="rId7"/>
    <Relationship TargetMode="External" Target="https://www.legis.iowa.gov/docs/ico/chapter/542.14.pdf" Type="http://schemas.openxmlformats.org/officeDocument/2006/relationships/hyperlink" Id="rId8"/>
    <Relationship TargetMode="External" Target="https://www.legis.iowa.gov/docs/iac/rule/481.1036.3.pdf" Type="http://schemas.openxmlformats.org/officeDocument/2006/relationships/hyperlink" Id="rId9"/>
    <Relationship TargetMode="External" Target="https://www.legis.iowa.gov/docs/iac/rule/481.506.32.pdf" Type="http://schemas.openxmlformats.org/officeDocument/2006/relationships/hyperlink" Id="rId10"/>
    <Relationship TargetMode="External" Target="https://www.legis.iowa.gov/docs/ico/chapter/542.12.pdf" Type="http://schemas.openxmlformats.org/officeDocument/2006/relationships/hyperlink" Id="rId11"/>
    <Relationship TargetMode="External" Target="https://www.legis.iowa.gov/docs/iac/rule/481.506.32.pdf" Type="http://schemas.openxmlformats.org/officeDocument/2006/relationships/hyperlink" Id="rId12"/>
    <Relationship TargetMode="External" Target="https://www.legis.iowa.gov/docs/iac/rule/481.506.32.pdf" Type="http://schemas.openxmlformats.org/officeDocument/2006/relationships/hyperlink" Id="rId13"/>
    <Relationship TargetMode="External" Target="https://www.legis.iowa.gov/docs/iac/rule/481.1036.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