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1034</w:t>
      </w:r>
    </w:p>
    <w:p>
      <w:pPr>
        <w:spacing w:before="0" w:after="0"/>
        <w:ind w:left="120"/>
        <w:jc w:val="center"/>
      </w:pPr>
      <w:r>
        <w:rPr>
          <w:rFonts w:ascii="Times New Roman" w:hAnsi="Times New Roman"/>
          <w:b w:val="false"/>
          <w:i w:val="false"/>
          <w:color w:val="000000"/>
          <w:sz w:val="21"/>
        </w:rPr>
        <w:t>DISCIPLINARY AUTHORITY AND GROUNDS FOR DISCIPLINE</w:t>
      </w:r>
    </w:p>
    <w:p>
      <w:pPr>
        <w:spacing w:before="0" w:after="0"/>
        <w:ind w:left="120"/>
        <w:jc w:val="center"/>
      </w:pPr>
      <w:r>
        <w:rPr>
          <w:rFonts w:ascii="Times New Roman" w:hAnsi="Times New Roman"/>
          <w:b w:val="false"/>
          <w:i w:val="false"/>
          <w:color w:val="000000"/>
          <w:sz w:val="20"/>
        </w:rPr>
        <w:t>[Prior to 6/10/26, see Accountancy Examining Board[193A] 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481—1034.1</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Disciplinary authority. </w:t>
      </w:r>
      <w:r>
        <w:rPr>
          <w:rFonts w:ascii="Times New Roman" w:hAnsi="Times New Roman"/>
          <w:b w:val="false"/>
          <w:i w:val="false"/>
          <w:color w:val="000000"/>
          <w:sz w:val="22"/>
        </w:rPr>
        <w:t>The board exercises disciplinary authority for the protection and well-being of those persons who rely on licensed individuals and firms for the performance of public accounting services within this state or for clients in this state. To perform these functions, the board is broadly vested with authority to review and investigate alleged acts or omissions of licensees, determine whether disciplinary proceedings are warranted, initiate and prosecute disciplinary proceedings, establish standards of professional conduct, and impose discipline, as authorized under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481—1034.2</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Disciplinary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1034.2(1)</w:t>
      </w:r>
      <w:r>
        <w:rPr>
          <w:rFonts w:ascii="Times New Roman" w:hAnsi="Times New Roman"/>
          <w:b w:val="false"/>
          <w:i w:val="false"/>
          <w:color w:val="000000"/>
          <w:sz w:val="22"/>
        </w:rPr>
        <w:t> </w:t>
      </w:r>
      <w:r>
        <w:rPr>
          <w:rFonts w:ascii="Times New Roman" w:hAnsi="Times New Roman"/>
          <w:b w:val="false"/>
          <w:i w:val="false"/>
          <w:color w:val="000000"/>
          <w:sz w:val="22"/>
        </w:rPr>
        <w:t>The board’s disciplinary policy rests upon the premise that the reliance of the public in general and of the business community in particular on sound financial reporting, and on the implication of professional competence inherent in the authorized use of a licensee’s regulated title relating to the practice of public accountancy, imposes on persons and firms engaged in such practice certain obligations both to their clients and to the public. These obligations include the obligation to maintain independence of thought and action; to strive continuously to improve one’s professional skills; to observe, where applicable, generally accepted accounting principles, generally accepted auditing standards, and similar principles and standards; to promote sound and informative financial reporting; to hold the affairs of clients in confidence; and to maintain high standards of personal conduct in all matters affecting one’s fitness to practice public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1034.2(2)</w:t>
      </w:r>
      <w:r>
        <w:rPr>
          <w:rFonts w:ascii="Times New Roman" w:hAnsi="Times New Roman"/>
          <w:b w:val="false"/>
          <w:i w:val="false"/>
          <w:color w:val="000000"/>
          <w:sz w:val="22"/>
        </w:rPr>
        <w:t> </w:t>
      </w:r>
      <w:r>
        <w:rPr>
          <w:rFonts w:ascii="Times New Roman" w:hAnsi="Times New Roman"/>
          <w:b w:val="false"/>
          <w:i w:val="false"/>
          <w:color w:val="000000"/>
          <w:sz w:val="22"/>
        </w:rPr>
        <w:t>The public interest dictates that persons professing special competence in accountancy have demonstrated their qualifications to do so, and that persons who have not demonstrated and maintained such qualifications not be permitted to represent themselves as having such special competence; that the conduct of persons licensed as having special competence in accountancy be regulated in all aspects of their professional work; and that the use of titles that have a capacity or tendency to deceive the public as to the status or competence of the persons using such titles not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1034.2(3)</w:t>
      </w:r>
      <w:r>
        <w:rPr>
          <w:rFonts w:ascii="Times New Roman" w:hAnsi="Times New Roman"/>
          <w:b w:val="false"/>
          <w:i w:val="false"/>
          <w:color w:val="000000"/>
          <w:sz w:val="22"/>
        </w:rPr>
        <w:t> </w:t>
      </w:r>
      <w:r>
        <w:rPr>
          <w:rFonts w:ascii="Times New Roman" w:hAnsi="Times New Roman"/>
          <w:b w:val="false"/>
          <w:i w:val="false"/>
          <w:color w:val="000000"/>
          <w:sz w:val="22"/>
        </w:rPr>
        <w:t xml:space="preserve">A CPA or LPA firm is subject to discipline for its own violations of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administrative rules and the violations of the firm’s CPAs, LPAs, nonlicensee owners, persons acting or purporting to act under a practice privilege, and others performing professional services on the firm’s behalf. Whether a CPA or LPA firm will be charged based on the acts of such individuals will depend on the circumstances. Among the factors the board will consider are whether the firm took reasonable steps to prevent the violation, whether the violation was or could have been discovered by the firm upon reasonable inquiry, what steps the firm took upon discovering the violation, whether the acts or omissions involved licensees of the board or were committed by persons who are not individually licensed by the board, the nature of the services at issue, and whether the violations are isolated matters or more systemic to the firm’s performance.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481—1034.3</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board may initiate disciplinary action against a CPA, an LPA, or a firm of CPAs or LPAs that holds an active, inactive or lapsed certificate, license or permit to practice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1034.3(1)</w:t>
      </w:r>
      <w:r>
        <w:rPr>
          <w:rFonts w:ascii="Times New Roman" w:hAnsi="Times New Roman"/>
          <w:b w:val="false"/>
          <w:i w:val="false"/>
          <w:color w:val="000000"/>
          <w:sz w:val="22"/>
        </w:rPr>
        <w:t> </w:t>
      </w:r>
      <w:r>
        <w:rPr>
          <w:rFonts w:ascii="Times New Roman" w:hAnsi="Times New Roman"/>
          <w:b w:val="false"/>
          <w:i/>
          <w:color w:val="000000"/>
          <w:sz w:val="22"/>
        </w:rPr>
        <w:t xml:space="preserve">Fraud or deceit in procuring a license. </w:t>
      </w:r>
      <w:r>
        <w:rPr>
          <w:rFonts w:ascii="Times New Roman" w:hAnsi="Times New Roman"/>
          <w:b w:val="false"/>
          <w:i w:val="false"/>
          <w:color w:val="000000"/>
          <w:sz w:val="22"/>
        </w:rPr>
        <w:t>Fraud or deceit in procuring or attempting to procure an initial, reciprocal, renewal, or reinstated certificate, license, or permit to practice includes any intentional perversion of the truth when submitting an application to the board, or when submitting information in support of another’s application to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any false or forged record or document, such as a college transcript, diploma or degree, examination report, verification of licensure, continuing education certificate, or verification of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provide complete information in response to a question on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Reporting information, such as satisfaction of continuing education, peer review, or attest qualification, in a false manner through overt deceit or with reckless disregard for the truth or accuracy of the information asserted.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Otherwise participating in any form of fraud or misrepresentation by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1034.3(2)</w:t>
      </w:r>
      <w:r>
        <w:rPr>
          <w:rFonts w:ascii="Times New Roman" w:hAnsi="Times New Roman"/>
          <w:b w:val="false"/>
          <w:i w:val="false"/>
          <w:color w:val="000000"/>
          <w:sz w:val="22"/>
        </w:rPr>
        <w:t> </w:t>
      </w:r>
      <w:r>
        <w:rPr>
          <w:rFonts w:ascii="Times New Roman" w:hAnsi="Times New Roman"/>
          <w:b w:val="false"/>
          <w:i/>
          <w:color w:val="000000"/>
          <w:sz w:val="22"/>
        </w:rPr>
        <w:t xml:space="preserve">Professional incompetence. </w:t>
      </w:r>
      <w:r>
        <w:rPr>
          <w:rFonts w:ascii="Times New Roman" w:hAnsi="Times New Roman"/>
          <w:b w:val="false"/>
          <w:i w:val="false"/>
          <w:color w:val="000000"/>
          <w:sz w:val="22"/>
        </w:rPr>
        <w:t>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minimum standards of acceptable and prevailing practice of public accounting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willful, repeated, or material deviation from generally accepted engagement standards, generally accepted accounting standards, generally accepted auditing standards, or any other nationally recognized standard applicable to the public accounting services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act or omission that demonstrates an inability to safely practice in a manner protective of the public’s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1034.3(3)</w:t>
      </w:r>
      <w:r>
        <w:rPr>
          <w:rFonts w:ascii="Times New Roman" w:hAnsi="Times New Roman"/>
          <w:b w:val="false"/>
          <w:i w:val="false"/>
          <w:color w:val="000000"/>
          <w:sz w:val="22"/>
        </w:rPr>
        <w:t> </w:t>
      </w:r>
      <w:r>
        <w:rPr>
          <w:rFonts w:ascii="Times New Roman" w:hAnsi="Times New Roman"/>
          <w:b w:val="false"/>
          <w:i/>
          <w:color w:val="000000"/>
          <w:sz w:val="22"/>
        </w:rPr>
        <w:t xml:space="preserve">Deceptive practices. </w:t>
      </w:r>
      <w:r>
        <w:rPr>
          <w:rFonts w:ascii="Times New Roman" w:hAnsi="Times New Roman"/>
          <w:b w:val="false"/>
          <w:i w:val="false"/>
          <w:color w:val="000000"/>
          <w:sz w:val="22"/>
        </w:rPr>
        <w:t>Deceptive practices are grounds for discipline, whether or not actual injury is established,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or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false or misleading reports or information to the board including information supplied in an audit of continuing education, reports submitted as a condition of probation, or any reports identified in this rule or </w:t>
      </w:r>
      <w:hyperlink r:id="rId6">
        <w:r>
          <w:rPr>
            <w:rStyle w:val="Hyperlink"/>
            <w:rFonts w:ascii="Times New Roman" w:hAnsi="Times New Roman"/>
            <w:b w:val="false"/>
            <w:i w:val="false"/>
            <w:color w:val="000000"/>
            <w:sz w:val="22"/>
          </w:rPr>
          <w:t>481—Chapter 1038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presenting as one’s own a certificate or certificate number, license or license number, permit or permit number, or signature, when the above belongs to another or a fictitious licensee; or otherwise falsely impersonating a person holding a CPA certificate, an LPA license, or a permit to practice as a firm of CPAs or LPAs.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Representing oneself as a CPA, LPA, CPA firm, or LPA firm when the certificate, license, or permit to practice has been suspended, revoked, surrendered, or placed on inactive status, or has lapsed, except as allowed under Iowa Code section </w:t>
      </w:r>
      <w:hyperlink r:id="rId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1034.3(4)</w:t>
      </w:r>
      <w:r>
        <w:rPr>
          <w:rFonts w:ascii="Times New Roman" w:hAnsi="Times New Roman"/>
          <w:b w:val="false"/>
          <w:i w:val="false"/>
          <w:color w:val="000000"/>
          <w:sz w:val="22"/>
        </w:rPr>
        <w:t> </w:t>
      </w:r>
      <w:r>
        <w:rPr>
          <w:rFonts w:ascii="Times New Roman" w:hAnsi="Times New Roman"/>
          <w:b w:val="false"/>
          <w:i/>
          <w:color w:val="000000"/>
          <w:sz w:val="22"/>
        </w:rPr>
        <w:t xml:space="preserve">Unethical, harmful or detrimental conduct. </w:t>
      </w:r>
      <w:r>
        <w:rPr>
          <w:rFonts w:ascii="Times New Roman" w:hAnsi="Times New Roman"/>
          <w:b w:val="false"/>
          <w:i w:val="false"/>
          <w:color w:val="000000"/>
          <w:sz w:val="22"/>
        </w:rPr>
        <w:t>Licensees engaging in unethical conduct or practices harmful or detrimental to the public may be disciplined whether or not injury is established. Behaviors and conduct that are unethical, harmful or detrimental to the public may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or improper sexual contact, if such behavior occurs within the practice of public accounting or if such behavior otherwise provides a reasonable basis for the board to conclude that such behavior within the practice of public accounting would place the public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violation of a rule of professional conduct relating to improper conflicts of interest, or lack of integrity, objectivity or independence, as provided in the AICPA Code of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a provision of Iowa Code section </w:t>
      </w:r>
      <w:hyperlink r:id="rId8">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or aiding or abetting any unlawful activity for which a civil penalty can be imposed under Iowa Code sections </w:t>
      </w:r>
      <w:hyperlink r:id="rId9">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1034.3(5)</w:t>
      </w:r>
      <w:r>
        <w:rPr>
          <w:rFonts w:ascii="Times New Roman" w:hAnsi="Times New Roman"/>
          <w:b w:val="false"/>
          <w:i w:val="false"/>
          <w:color w:val="000000"/>
          <w:sz w:val="22"/>
        </w:rPr>
        <w:t> </w:t>
      </w:r>
      <w:r>
        <w:rPr>
          <w:rFonts w:ascii="Times New Roman" w:hAnsi="Times New Roman"/>
          <w:b w:val="false"/>
          <w:i/>
          <w:color w:val="000000"/>
          <w:sz w:val="22"/>
        </w:rPr>
        <w:t xml:space="preserve">Lack of proper qualifications. </w:t>
      </w:r>
      <w:r>
        <w:rPr>
          <w:rFonts w:ascii="Times New Roman" w:hAnsi="Times New Roman"/>
          <w:b w:val="false"/>
          <w:i w:val="false"/>
          <w:color w:val="000000"/>
          <w:sz w:val="22"/>
        </w:rPr>
        <w:t>Lack of proper qualifications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as a CPA or LPA without satisfying the continuing education necessary for certificate 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to perform attest services or compilation services without timely completion of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attest services as an individual without proper certification or attest qualification, or without acting through a CPA firm holding a permit to practice pursuant to Iowa Code section </w:t>
      </w:r>
      <w:hyperlink r:id="rId1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exercising a practice privilege pursuant to Iowa Code section </w:t>
      </w:r>
      <w:hyperlink r:id="rId12">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attest services as a firm without holding a permit to practice pursuant to Iowa Code section </w:t>
      </w:r>
      <w:hyperlink r:id="rId13">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exercising a practice privilege pursuant to Iowa Code section </w:t>
      </w:r>
      <w:hyperlink r:id="rId1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or without ensuring that the individuals responsible for supervising attest services or signing or authorizing someone to sign the accountant’s report are attest-qualified, hold the necessary certification or are eligible to exercise a practice privilege, or otherwise performing attest services in a manner inconsistent with Iowa Code chapter </w:t>
      </w:r>
      <w:hyperlink r:id="rId1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the rules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or impairment that adversely affects the CPA’s or LPA’s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act, conduct, or condition, including lack of education or experience and careless or intentional acts or omissions, that demonstrates a lack of qualifications that are necessary to ensure a high standard of professional care as provided in Iowa Code section </w:t>
      </w:r>
      <w:hyperlink r:id="rId16">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that impairs a practitioner’s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1034.3(6)</w:t>
      </w:r>
      <w:r>
        <w:rPr>
          <w:rFonts w:ascii="Times New Roman" w:hAnsi="Times New Roman"/>
          <w:b w:val="false"/>
          <w:i w:val="false"/>
          <w:color w:val="000000"/>
          <w:sz w:val="22"/>
        </w:rPr>
        <w:t> </w:t>
      </w:r>
      <w:r>
        <w:rPr>
          <w:rFonts w:ascii="Times New Roman" w:hAnsi="Times New Roman"/>
          <w:b w:val="false"/>
          <w:i/>
          <w:color w:val="000000"/>
          <w:sz w:val="22"/>
        </w:rPr>
        <w:t xml:space="preserve">Negligence in the practice of public accounting. </w:t>
      </w:r>
      <w:r>
        <w:rPr>
          <w:rFonts w:ascii="Times New Roman" w:hAnsi="Times New Roman"/>
          <w:b w:val="false"/>
          <w:i w:val="false"/>
          <w:color w:val="000000"/>
          <w:sz w:val="22"/>
        </w:rPr>
        <w:t>Negligence in the practice of public accounting includes the following acts, practices, or omissions,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or refusal without good cause to exercise reasonable diligence 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exercise due care including negligent delegation of duties 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Neglect of contractual or other duties to a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1034.3(7)</w:t>
      </w:r>
      <w:r>
        <w:rPr>
          <w:rFonts w:ascii="Times New Roman" w:hAnsi="Times New Roman"/>
          <w:b w:val="false"/>
          <w:i w:val="false"/>
          <w:color w:val="000000"/>
          <w:sz w:val="22"/>
        </w:rPr>
        <w:t> </w:t>
      </w:r>
      <w:r>
        <w:rPr>
          <w:rFonts w:ascii="Times New Roman" w:hAnsi="Times New Roman"/>
          <w:b w:val="false"/>
          <w:i/>
          <w:color w:val="000000"/>
          <w:sz w:val="22"/>
        </w:rPr>
        <w:t xml:space="preserve">Professional misconduct. </w:t>
      </w:r>
      <w:r>
        <w:rPr>
          <w:rFonts w:ascii="Times New Roman" w:hAnsi="Times New Roman"/>
          <w:b w:val="false"/>
          <w:i w:val="false"/>
          <w:color w:val="000000"/>
          <w:sz w:val="22"/>
        </w:rPr>
        <w:t>Professional misconduct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generally accepted engagement standard, generally accepted accounting standard, generally accepted auditing standard, or any other nationally recognized standard applicable to the public accounting services at issue, as provided in rule </w:t>
      </w:r>
      <w:hyperlink r:id="rId17">
        <w:r>
          <w:rPr>
            <w:rStyle w:val="Hyperlink"/>
            <w:rFonts w:ascii="Times New Roman" w:hAnsi="Times New Roman"/>
            <w:b w:val="false"/>
            <w:i w:val="false"/>
            <w:color w:val="000000"/>
            <w:sz w:val="22"/>
          </w:rPr>
          <w:t>481—1033.4</w:t>
        </w:r>
      </w:hyperlink>
      <w:r>
        <w:rPr>
          <w:rFonts w:ascii="Times New Roman" w:hAnsi="Times New Roman"/>
          <w:b w:val="false"/>
          <w:i w:val="false"/>
          <w:color w:val="000000"/>
          <w:sz w:val="22"/>
        </w:rPr>
        <w:t>(542), or any other violation of a provision of the AICPA Code of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Violation of a regulation or law of this state, another state, the United States, or the PCAOB in the practice of public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 of a licensed or unlicensed firm, individual, or other entity, or failure to fully cooperate with a disciplinary investigation of a licensee or with an investigation of firms, individuals or other entities that are not licensed by the board, including, without limitation, failure to comply with a subpoena issued by the board or to respond to a board inquiry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against a licensee or person or firm exercising a practice privilege by a licensing authority of this state or another state, territory, or country. A stay by an appellate court does not negate the obligation to report such incidents to the board; however, if such disciplinary action is overturned or reversed by a court of last resort, discipline by the board based solely on such action will be vacated.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Suspension or revocation of the right to practice before any state or federal agency, or the PCAOB.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18">
        <w:r>
          <w:rPr>
            <w:rStyle w:val="Hyperlink"/>
            <w:rFonts w:ascii="Times New Roman" w:hAnsi="Times New Roman"/>
            <w:b w:val="false"/>
            <w:i w:val="false"/>
            <w:color w:val="000000"/>
            <w:sz w:val="22"/>
          </w:rPr>
          <w:t>542.17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19">
        <w:r>
          <w:rPr>
            <w:rStyle w:val="Hyperlink"/>
            <w:rFonts w:ascii="Times New Roman" w:hAnsi="Times New Roman"/>
            <w:b w:val="false"/>
            <w:i w:val="false"/>
            <w:color w:val="000000"/>
            <w:sz w:val="22"/>
          </w:rPr>
          <w:t>542.18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or aiding and abetting another’s violation of Iowa Code section </w:t>
      </w:r>
      <w:hyperlink r:id="rId20">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or 542.20.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Violating the terms of an initial agreement with the Iowa professionals review committee or violation of the terms of an impaired practitioner recovery contract with the Iowa professionals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Violating a practice privilege afforded to an Iowa licensee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public accounting on a lapsed or inactive certificate, license or permit when the acts or practices obligate active Iowa licensure and, in the case of a firm, allowing such acts or practices by firm CPAs or LPAs.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1034.3(8)</w:t>
      </w:r>
      <w:r>
        <w:rPr>
          <w:rFonts w:ascii="Times New Roman" w:hAnsi="Times New Roman"/>
          <w:b w:val="false"/>
          <w:i w:val="false"/>
          <w:color w:val="000000"/>
          <w:sz w:val="22"/>
        </w:rPr>
        <w:t> </w:t>
      </w:r>
      <w:r>
        <w:rPr>
          <w:rFonts w:ascii="Times New Roman" w:hAnsi="Times New Roman"/>
          <w:b w:val="false"/>
          <w:i/>
          <w:color w:val="000000"/>
          <w:sz w:val="22"/>
        </w:rPr>
        <w:t xml:space="preserve">Willful or repeated violations. </w:t>
      </w:r>
      <w:r>
        <w:rPr>
          <w:rFonts w:ascii="Times New Roman" w:hAnsi="Times New Roman"/>
          <w:b w:val="false"/>
          <w:i w:val="false"/>
          <w:color w:val="000000"/>
          <w:sz w:val="22"/>
        </w:rPr>
        <w:t xml:space="preserve">The willful or repeated violation or disregard of any provision of Iowa Code chapter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any administrative rule adopted by the board in the administration or enforcement of such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1034.3(9)</w:t>
      </w:r>
      <w:r>
        <w:rPr>
          <w:rFonts w:ascii="Times New Roman" w:hAnsi="Times New Roman"/>
          <w:b w:val="false"/>
          <w:i w:val="false"/>
          <w:color w:val="000000"/>
          <w:sz w:val="22"/>
        </w:rPr>
        <w:t> </w:t>
      </w:r>
      <w:r>
        <w:rPr>
          <w:rFonts w:ascii="Times New Roman" w:hAnsi="Times New Roman"/>
          <w:b w:val="false"/>
          <w:i/>
          <w:color w:val="000000"/>
          <w:sz w:val="22"/>
        </w:rPr>
        <w:t xml:space="preserve">Failure to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CPA firm to timely report as provided in rule </w:t>
      </w:r>
      <w:hyperlink r:id="rId23">
        <w:r>
          <w:rPr>
            <w:rStyle w:val="Hyperlink"/>
            <w:rFonts w:ascii="Times New Roman" w:hAnsi="Times New Roman"/>
            <w:b w:val="false"/>
            <w:i w:val="false"/>
            <w:color w:val="000000"/>
            <w:sz w:val="22"/>
          </w:rPr>
          <w:t>481—1027.7</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an LPA firm to timely report as provided in rule </w:t>
      </w:r>
      <w:hyperlink r:id="rId24">
        <w:r>
          <w:rPr>
            <w:rStyle w:val="Hyperlink"/>
            <w:rFonts w:ascii="Times New Roman" w:hAnsi="Times New Roman"/>
            <w:b w:val="false"/>
            <w:i w:val="false"/>
            <w:color w:val="000000"/>
            <w:sz w:val="22"/>
          </w:rPr>
          <w:t>481—1028.5</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timely report judgments and settlements and reportable violations by others as provided in </w:t>
      </w:r>
      <w:hyperlink r:id="rId25">
        <w:r>
          <w:rPr>
            <w:rStyle w:val="Hyperlink"/>
            <w:rFonts w:ascii="Times New Roman" w:hAnsi="Times New Roman"/>
            <w:b w:val="false"/>
            <w:i w:val="false"/>
            <w:color w:val="000000"/>
            <w:sz w:val="22"/>
          </w:rPr>
          <w:t>481—Chapter 1038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report in writing to the board any issuance, denial, revocation, or suspension of a license by another state, or the voluntary surrender of a license to resolve a pending disciplinary investigation or action, within 30 calendar days of the licensing authority’s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the conviction of any felony, or a crime described in Iowa Code section </w:t>
      </w:r>
      <w:hyperlink r:id="rId26">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 within 30 calendar days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report to the board a change in the licensee’s physical or mailing address within 30 calendar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as provided in </w:t>
      </w:r>
      <w:hyperlink r:id="rId27">
        <w:r>
          <w:rPr>
            <w:rStyle w:val="Hyperlink"/>
            <w:rFonts w:ascii="Times New Roman" w:hAnsi="Times New Roman"/>
            <w:b w:val="false"/>
            <w:i w:val="false"/>
            <w:color w:val="000000"/>
            <w:sz w:val="22"/>
          </w:rPr>
          <w:t>481—subrule 1033.4(3)</w:t>
        </w:r>
      </w:hyperlink>
      <w:r>
        <w:rPr>
          <w:rFonts w:ascii="Times New Roman" w:hAnsi="Times New Roman"/>
          <w:b w:val="false"/>
          <w:i w:val="false"/>
          <w:color w:val="000000"/>
          <w:sz w:val="22"/>
        </w:rPr>
        <w:t xml:space="preserve"> or as otherwise required in the AICPA Code of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1034.3(10)</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board order. </w:t>
      </w:r>
      <w:r>
        <w:rPr>
          <w:rFonts w:ascii="Times New Roman" w:hAnsi="Times New Roman"/>
          <w:b w:val="false"/>
          <w:i w:val="false"/>
          <w:color w:val="000000"/>
          <w:sz w:val="22"/>
        </w:rPr>
        <w:t>Failure to comply with the terms of a board order or the terms of a settlement agreement or consent order, or other decision imposing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1034.3(11)</w:t>
      </w:r>
      <w:r>
        <w:rPr>
          <w:rFonts w:ascii="Times New Roman" w:hAnsi="Times New Roman"/>
          <w:b w:val="false"/>
          <w:i w:val="false"/>
          <w:color w:val="000000"/>
          <w:sz w:val="22"/>
        </w:rPr>
        <w:t> </w:t>
      </w:r>
      <w:r>
        <w:rPr>
          <w:rFonts w:ascii="Times New Roman" w:hAnsi="Times New Roman"/>
          <w:b w:val="false"/>
          <w:i/>
          <w:color w:val="000000"/>
          <w:sz w:val="22"/>
        </w:rPr>
        <w:t xml:space="preserve">Conviction of a crime. </w:t>
      </w:r>
      <w:r>
        <w:rPr>
          <w:rFonts w:ascii="Times New Roman" w:hAnsi="Times New Roman"/>
          <w:b w:val="false"/>
          <w:i w:val="false"/>
          <w:color w:val="000000"/>
          <w:sz w:val="22"/>
        </w:rPr>
        <w:t xml:space="preserve">Conviction of any crime described in Iowa Code section </w:t>
      </w:r>
      <w:hyperlink r:id="rId28">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 xml:space="preserve"> and as limited by Iowa Code section </w:t>
      </w:r>
      <w:hyperlink r:id="rId29">
        <w:r>
          <w:rPr>
            <w:rStyle w:val="Hyperlink"/>
            <w:rFonts w:ascii="Times New Roman" w:hAnsi="Times New Roman"/>
            <w:b w:val="false"/>
            <w:i w:val="false"/>
            <w:color w:val="000000"/>
            <w:sz w:val="22"/>
          </w:rPr>
          <w:t>272C.10(5)</w:t>
        </w:r>
      </w:hyperlink>
      <w:r>
        <w:rPr>
          <w:rFonts w:ascii="Times New Roman" w:hAnsi="Times New Roman"/>
          <w:b w:val="false"/>
          <w:i w:val="false"/>
          <w:color w:val="000000"/>
          <w:sz w:val="22"/>
        </w:rPr>
        <w:t xml:space="preserve"> is grounds for denial, revocation, or suspension of a license. “Conviction” includes any plea of guilty or nolo contendere, including Alford pleas, or finding of guilt whether or not judgment or sentence is deferred, withheld, not entered, or suspended, and whether or not the conviction is on appeal. If such conviction is overturned or reversed by a court of last resort, discipline by the board based solely on the conviction is vacated.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1034.3(12)</w:t>
      </w:r>
      <w:r>
        <w:rPr>
          <w:rFonts w:ascii="Times New Roman" w:hAnsi="Times New Roman"/>
          <w:b w:val="false"/>
          <w:i w:val="false"/>
          <w:color w:val="000000"/>
          <w:sz w:val="22"/>
        </w:rPr>
        <w:t> </w:t>
      </w:r>
      <w:r>
        <w:rPr>
          <w:rFonts w:ascii="Times New Roman" w:hAnsi="Times New Roman"/>
          <w:b w:val="false"/>
          <w:i/>
          <w:color w:val="000000"/>
          <w:sz w:val="22"/>
        </w:rPr>
        <w:t xml:space="preserve">Conduct discreditable to the accounting profession. </w:t>
      </w:r>
      <w:r>
        <w:rPr>
          <w:rFonts w:ascii="Times New Roman" w:hAnsi="Times New Roman"/>
          <w:b w:val="false"/>
          <w:i w:val="false"/>
          <w:color w:val="000000"/>
          <w:sz w:val="22"/>
        </w:rPr>
        <w:t>Conduct discreditable to the accounting profession includes any act or practice that diminishes the public’s confidence in the profession, impairs the credibility of the profession, or otherwise compromises the public’s trust. While it is not possible to list all conduct that is discreditable to the accounting profession, the following list provides an illustrative range of acts or practices that are implicated: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Dishonesty in business or financial affairs, or a pattern of fiscal irresponsibility.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Securities fraud or violation of the Iowa consumer fraud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Willful or repeated failure to timely file tax returns or other tax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False testimony in a court or administrative proceeding, or affidavit, or otherwise under oath.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Providing false or misleading information to a financial institution or governmental body or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Stating or implying an ability to improperly influence a government agency or official, or attempting to do so through deception, bribery or other unlawful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Violation of a breach of fiduciary duty when acting in the capacity of a trustee, conservator, or other fiduciary, or as the professional advisor to a fiduciary.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chapter </w:t>
      </w:r>
      <w:hyperlink r:id="rId3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administrative rules that involves dishonesty, bad faith, or unethical behavior.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34">
        <w:r>
          <w:rPr>
            <w:rStyle w:val="Hyperlink"/>
            <w:rFonts w:ascii="Times New Roman" w:hAnsi="Times New Roman"/>
            <w:b w:val="false"/>
            <w:i w:val="false"/>
            <w:color w:val="000000"/>
            <w:sz w:val="22"/>
          </w:rPr>
          <w:t>546.10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3230C</w:t>
      </w:r>
      <w:r>
        <w:rPr>
          <w:rFonts w:ascii="Times New Roman" w:hAnsi="Times New Roman"/>
          <w:b w:val="false"/>
          <w:i w:val="false"/>
          <w:color w:val="000000"/>
          <w:sz w:val="21"/>
        </w:rPr>
        <w:t xml:space="preserve"> (Notice ARC 3019C, IAB 4/12/17)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7690C</w:t>
      </w:r>
      <w:r>
        <w:rPr>
          <w:rFonts w:ascii="Times New Roman" w:hAnsi="Times New Roman"/>
          <w:b w:val="false"/>
          <w:i w:val="false"/>
          <w:color w:val="000000"/>
          <w:sz w:val="21"/>
        </w:rPr>
        <w:t xml:space="preserve"> (Notice ARC 7397C,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3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pdf" Type="http://schemas.openxmlformats.org/officeDocument/2006/relationships/hyperlink" Id="rId5"/>
    <Relationship TargetMode="External" Target="https://www.legis.iowa.gov/docs/iac/chapter/481.1038.pdf" Type="http://schemas.openxmlformats.org/officeDocument/2006/relationships/hyperlink" Id="rId6"/>
    <Relationship TargetMode="External" Target="https://www.legis.iowa.gov/docs/ico/chapter/542.20.pdf" Type="http://schemas.openxmlformats.org/officeDocument/2006/relationships/hyperlink" Id="rId7"/>
    <Relationship TargetMode="External" Target="https://www.legis.iowa.gov/docs/ico/chapter/542.13.pdf" Type="http://schemas.openxmlformats.org/officeDocument/2006/relationships/hyperlink" Id="rId8"/>
    <Relationship TargetMode="External" Target="https://www.legis.iowa.gov/docs/ico/chapter/542.13.pdf" Type="http://schemas.openxmlformats.org/officeDocument/2006/relationships/hyperlink" Id="rId9"/>
    <Relationship TargetMode="External" Target="https://www.legis.iowa.gov/docs/ico/chapter/542.14.pdf" Type="http://schemas.openxmlformats.org/officeDocument/2006/relationships/hyperlink" Id="rId10"/>
    <Relationship TargetMode="External" Target="https://www.legis.iowa.gov/docs/ico/chapter/542.7.pdf" Type="http://schemas.openxmlformats.org/officeDocument/2006/relationships/hyperlink" Id="rId11"/>
    <Relationship TargetMode="External" Target="https://www.legis.iowa.gov/docs/ico/chapter/542.20.pdf" Type="http://schemas.openxmlformats.org/officeDocument/2006/relationships/hyperlink" Id="rId12"/>
    <Relationship TargetMode="External" Target="https://www.legis.iowa.gov/docs/ico/chapter/542.7.pdf" Type="http://schemas.openxmlformats.org/officeDocument/2006/relationships/hyperlink" Id="rId13"/>
    <Relationship TargetMode="External" Target="https://www.legis.iowa.gov/docs/ico/chapter/542.20.pdf" Type="http://schemas.openxmlformats.org/officeDocument/2006/relationships/hyperlink" Id="rId14"/>
    <Relationship TargetMode="External" Target="https://www.legis.iowa.gov/docs/ico/chapter/542.pdf" Type="http://schemas.openxmlformats.org/officeDocument/2006/relationships/hyperlink" Id="rId15"/>
    <Relationship TargetMode="External" Target="https://www.legis.iowa.gov/docs/ico/chapter/272C.3.pdf" Type="http://schemas.openxmlformats.org/officeDocument/2006/relationships/hyperlink" Id="rId16"/>
    <Relationship TargetMode="External" Target="https://www.legis.iowa.gov/docs/iac/rule/481.1033.4.pdf" Type="http://schemas.openxmlformats.org/officeDocument/2006/relationships/hyperlink" Id="rId17"/>
    <Relationship TargetMode="External" Target="https://www.legis.iowa.gov/docs/ico/chapter/542.17.pdf" Type="http://schemas.openxmlformats.org/officeDocument/2006/relationships/hyperlink" Id="rId18"/>
    <Relationship TargetMode="External" Target="https://www.legis.iowa.gov/docs/ico/chapter/542.18.pdf" Type="http://schemas.openxmlformats.org/officeDocument/2006/relationships/hyperlink" Id="rId19"/>
    <Relationship TargetMode="External" Target="https://www.legis.iowa.gov/docs/ico/chapter/542.13.pdf" Type="http://schemas.openxmlformats.org/officeDocument/2006/relationships/hyperlink" Id="rId20"/>
    <Relationship TargetMode="External" Target="https://www.legis.iowa.gov/docs/ico/chapter/272C.pdf" Type="http://schemas.openxmlformats.org/officeDocument/2006/relationships/hyperlink" Id="rId21"/>
    <Relationship TargetMode="External" Target="https://www.legis.iowa.gov/docs/ico/chapter/542.pdf" Type="http://schemas.openxmlformats.org/officeDocument/2006/relationships/hyperlink" Id="rId22"/>
    <Relationship TargetMode="External" Target="https://www.legis.iowa.gov/docs/iac/rule/481.1027.7.pdf" Type="http://schemas.openxmlformats.org/officeDocument/2006/relationships/hyperlink" Id="rId23"/>
    <Relationship TargetMode="External" Target="https://www.legis.iowa.gov/docs/iac/rule/481.1028.5.pdf" Type="http://schemas.openxmlformats.org/officeDocument/2006/relationships/hyperlink" Id="rId24"/>
    <Relationship TargetMode="External" Target="https://www.legis.iowa.gov/docs/iac/chapter/481.1038.pdf" Type="http://schemas.openxmlformats.org/officeDocument/2006/relationships/hyperlink" Id="rId25"/>
    <Relationship TargetMode="External" Target="https://www.legis.iowa.gov/docs/ico/chapter/542.5.pdf" Type="http://schemas.openxmlformats.org/officeDocument/2006/relationships/hyperlink" Id="rId26"/>
    <Relationship TargetMode="External" Target="https://www.legis.iowa.gov/docs/iac/rule/481.1033.4.pdf" Type="http://schemas.openxmlformats.org/officeDocument/2006/relationships/hyperlink" Id="rId27"/>
    <Relationship TargetMode="External" Target="https://www.legis.iowa.gov/docs/ico/chapter/542.5.pdf" Type="http://schemas.openxmlformats.org/officeDocument/2006/relationships/hyperlink" Id="rId28"/>
    <Relationship TargetMode="External" Target="https://www.legis.iowa.gov/docs/ico/chapter/272C.10.pdf" Type="http://schemas.openxmlformats.org/officeDocument/2006/relationships/hyperlink" Id="rId29"/>
    <Relationship TargetMode="External" Target="https://www.legis.iowa.gov/docs/ico/chapter/542.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co/chapter/272C.pdf" Type="http://schemas.openxmlformats.org/officeDocument/2006/relationships/hyperlink" Id="rId32"/>
    <Relationship TargetMode="External" Target="https://www.legis.iowa.gov/docs/ico/chapter/542.pdf" Type="http://schemas.openxmlformats.org/officeDocument/2006/relationships/hyperlink" Id="rId33"/>
    <Relationship TargetMode="External" Target="https://www.legis.iowa.gov/docs/ico/chapter/546.10.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