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1032</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5/1/02, see 193A—Chapter 14]</w:t>
      </w:r>
    </w:p>
    <w:p>
      <w:pPr>
        <w:spacing w:before="0" w:after="0"/>
        <w:ind w:left="120"/>
        <w:jc w:val="center"/>
      </w:pPr>
      <w:r>
        <w:rPr>
          <w:rFonts w:ascii="Times New Roman" w:hAnsi="Times New Roman"/>
          <w:b w:val="false"/>
          <w:i w:val="false"/>
          <w:color w:val="000000"/>
          <w:sz w:val="20"/>
        </w:rPr>
        <w:t>[Prior to 6/10/26, see Accountancy Examining Board[193A]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481—1032.1</w:t>
      </w:r>
      <w:r>
        <w:rPr>
          <w:rFonts w:ascii="Times New Roman" w:hAnsi="Times New Roman"/>
          <w:b/>
          <w:i w:val="false"/>
          <w:color w:val="000000"/>
          <w:sz w:val="22"/>
        </w:rPr>
        <w:t xml:space="preserve">(542) </w:t>
      </w:r>
      <w:r>
        <w:rPr>
          <w:rFonts w:ascii="Times New Roman" w:hAnsi="Times New Roman"/>
          <w:b/>
          <w:i w:val="false"/>
          <w:color w:val="000000"/>
          <w:sz w:val="22"/>
        </w:rPr>
        <w:t xml:space="preserve">Fees. </w:t>
      </w:r>
      <w:r>
        <w:rPr>
          <w:rFonts w:ascii="Times New Roman" w:hAnsi="Times New Roman"/>
          <w:b w:val="false"/>
          <w:i w:val="false"/>
          <w:color w:val="000000"/>
          <w:sz w:val="22"/>
        </w:rPr>
        <w:t>The following is a schedule of the fees for examinations, certificates, licenses, permits and renewals adopted by the board:</w:t>
      </w:r>
    </w:p>
    <w:tbl>
      <w:tblPr>
        <w:tblW w:w="0" w:type="auto"/>
        <w:tblCellSpacing w:w="0" w:type="auto"/>
        <w:tblBorders>
          <w:top w:val="none"/>
          <w:left w:val="none"/>
          <w:bottom w:val="none"/>
          <w:right w:val="none"/>
          <w:insideH w:val="none"/>
          <w:insideV w:val="none"/>
        </w:tblBorders>
        <w:tblLayout w:type="fixed"/>
      </w:tblPr>
      <w:tblGrid>
        <w:gridCol w:w="6720"/>
        <w:gridCol w:w="2880"/>
      </w:tblGrid>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Initial CPA examination application: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Paid directly to CPA examination services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not to exceed $1,500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Reexamination:</w:t>
            </w:r>
          </w:p>
        </w:tc>
        <w:tc>
          <w:tcPr>
            <w:tcW w:w="28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Paid directly to CPA examination services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not to exceed $1,500</w:t>
            </w:r>
          </w:p>
        </w:tc>
      </w:tr>
      <w:tr>
        <w:trPr>
          <w:trHeight w:val="345"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Original issuance of CPA certificate or LPA license by examination (fee includes wall certificate)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Original issuance of CPA certificate by reciprocity or substantial equivalency</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$100 </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CPA wall certificate or LPA license issued by reciprocity or substantial equivalency</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Replacement of lost or destroyed wall CPA certificate or LPA license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Original issuance of attest qualification</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Annual renewal of CPA certificate or LPA license—active status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345"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Late renewal of CPA certificate or LPA license within 30-day grace period (July 1 to July 30)—active status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Annual renewal of CPA certificate or LPA license—inactive status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r>
      <w:tr>
        <w:trPr>
          <w:trHeight w:val="345"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Late renewal of CPA certificate or LPA license within 30-day grace period (July 1 to July 30)—inactive status</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Original issuance of firm permit to practice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Annual renewal of firm permit to practice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345"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Reinstatement of lapsed CPA certificate or LPA license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 + renewal fee + $25 per month of expired registration</w:t>
            </w:r>
          </w:p>
        </w:tc>
      </w:tr>
      <w:tr>
        <w:trPr>
          <w:trHeight w:val="345"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Reinstatement of lapsed firm permit to practice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 + renewal fee + $25 per month of expired registration</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Interstate Transfer Form</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w:t>
            </w:r>
          </w:p>
        </w:tc>
      </w:tr>
      <w:tr>
        <w:trPr>
          <w:trHeight w:val="180" w:hRule="atLeast"/>
        </w:trPr>
        <w:tc>
          <w:tcPr>
            <w:tcW w:w="6720"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License predetermination fee</w:t>
            </w:r>
          </w:p>
        </w:tc>
        <w:tc>
          <w:tcPr>
            <w:tcW w:w="28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481—1032.2</w:t>
      </w:r>
      <w:r>
        <w:rPr>
          <w:rFonts w:ascii="Times New Roman" w:hAnsi="Times New Roman"/>
          <w:b/>
          <w:i w:val="false"/>
          <w:color w:val="000000"/>
          <w:sz w:val="22"/>
        </w:rPr>
        <w:t xml:space="preserve">(542)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1032.2(1)</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CPA certificate or LPA license. </w:t>
      </w:r>
      <w:r>
        <w:rPr>
          <w:rFonts w:ascii="Times New Roman" w:hAnsi="Times New Roman"/>
          <w:b w:val="false"/>
          <w:i w:val="false"/>
          <w:color w:val="000000"/>
          <w:sz w:val="22"/>
        </w:rPr>
        <w:t>The fee for the reinstatement of a lapsed CPA certificate or LPA license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lapsed firm permit to practice. </w:t>
      </w:r>
      <w:r>
        <w:rPr>
          <w:rFonts w:ascii="Times New Roman" w:hAnsi="Times New Roman"/>
          <w:b w:val="false"/>
          <w:i w:val="false"/>
          <w:color w:val="000000"/>
          <w:sz w:val="22"/>
        </w:rPr>
        <w:t>The fee for the reinstatement of a lapsed CPA or LPA firm permit to practice for applications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1032.2(3)</w:t>
      </w:r>
      <w:r>
        <w:rPr>
          <w:rFonts w:ascii="Times New Roman" w:hAnsi="Times New Roman"/>
          <w:b w:val="false"/>
          <w:i w:val="false"/>
          <w:color w:val="000000"/>
          <w:sz w:val="22"/>
        </w:rPr>
        <w:t> </w:t>
      </w:r>
      <w:r>
        <w:rPr>
          <w:rFonts w:ascii="Times New Roman" w:hAnsi="Times New Roman"/>
          <w:b w:val="false"/>
          <w:i/>
          <w:color w:val="000000"/>
          <w:sz w:val="22"/>
        </w:rPr>
        <w:t xml:space="preserve">Applicants for reinstatement. </w:t>
      </w:r>
      <w:r>
        <w:rPr>
          <w:rFonts w:ascii="Times New Roman" w:hAnsi="Times New Roman"/>
          <w:b w:val="false"/>
          <w:i w:val="false"/>
          <w:color w:val="000000"/>
          <w:sz w:val="22"/>
        </w:rPr>
        <w:t xml:space="preserve">All applicants for reinstatement will be assessed the $100 reinstatement fee. The $25 per month penalty fee described in subrules </w:t>
      </w:r>
      <w:hyperlink r:id="rId5">
        <w:r>
          <w:rPr>
            <w:rStyle w:val="Hyperlink"/>
            <w:rFonts w:ascii="Times New Roman" w:hAnsi="Times New Roman"/>
            <w:b w:val="false"/>
            <w:i w:val="false"/>
            <w:color w:val="000000"/>
            <w:sz w:val="22"/>
          </w:rPr>
          <w:t>1032.2(1)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1032.2(2)</w:t>
        </w:r>
      </w:hyperlink>
      <w:r>
        <w:rPr>
          <w:rFonts w:ascii="Times New Roman" w:hAnsi="Times New Roman"/>
          <w:b w:val="false"/>
          <w:i w:val="false"/>
          <w:color w:val="000000"/>
          <w:sz w:val="22"/>
        </w:rPr>
        <w:t xml:space="preserve"> will not be assessed if the applicant for reinstatement did not, during the period of lapse, engage in any acts or practices for which an active CPA certificate, LPA license, or firm permit to practice as a CPA or LPA firm is necessary in Iowa. Falsely claiming an exemption from the monthly penalty fee is a ground for discipline; in addition, other grounds for discipline may arise from practicing on a lapsed certificate, license or permit to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481—1032.3</w:t>
      </w:r>
      <w:r>
        <w:rPr>
          <w:rFonts w:ascii="Times New Roman" w:hAnsi="Times New Roman"/>
          <w:b/>
          <w:i w:val="false"/>
          <w:color w:val="000000"/>
          <w:sz w:val="22"/>
        </w:rPr>
        <w:t xml:space="preserve">(542) </w:t>
      </w:r>
      <w:r>
        <w:rPr>
          <w:rFonts w:ascii="Times New Roman" w:hAnsi="Times New Roman"/>
          <w:b/>
          <w:i w:val="false"/>
          <w:color w:val="000000"/>
          <w:sz w:val="22"/>
        </w:rPr>
        <w:t xml:space="preserve">Prorating of certain fees. </w:t>
      </w:r>
      <w:r>
        <w:rPr>
          <w:rFonts w:ascii="Times New Roman" w:hAnsi="Times New Roman"/>
          <w:b w:val="false"/>
          <w:i w:val="false"/>
          <w:color w:val="000000"/>
          <w:sz w:val="22"/>
        </w:rPr>
        <w:t xml:space="preserve">Fees for the issuance of an original CPA certificate or LPA license, pursuant to rule </w:t>
      </w:r>
      <w:hyperlink r:id="rId7">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or the issuance of an initial permit to practice to a CPA or LPA firm, pursuant to rule </w:t>
      </w:r>
      <w:hyperlink r:id="rId8">
        <w:r>
          <w:rPr>
            <w:rStyle w:val="Hyperlink"/>
            <w:rFonts w:ascii="Times New Roman" w:hAnsi="Times New Roman"/>
            <w:b w:val="false"/>
            <w:i w:val="false"/>
            <w:color w:val="000000"/>
            <w:sz w:val="22"/>
          </w:rPr>
          <w:t>481—1027.1</w:t>
        </w:r>
      </w:hyperlink>
      <w:r>
        <w:rPr>
          <w:rFonts w:ascii="Times New Roman" w:hAnsi="Times New Roman"/>
          <w:b w:val="false"/>
          <w:i w:val="false"/>
          <w:color w:val="000000"/>
          <w:sz w:val="22"/>
        </w:rPr>
        <w:t>(542), will not be prorated.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emergency 3/9/79—published 4/4/79, effective 3/9/79]</w:t>
      </w:r>
    </w:p>
    <w:p>
      <w:pPr>
        <w:spacing w:before="0" w:after="0"/>
        <w:ind w:left="120"/>
        <w:jc w:val="center"/>
      </w:pPr>
      <w:r>
        <w:rPr>
          <w:rFonts w:ascii="Times New Roman" w:hAnsi="Times New Roman"/>
          <w:b w:val="false"/>
          <w:i w:val="false"/>
          <w:color w:val="000000"/>
          <w:sz w:val="21"/>
        </w:rPr>
        <w:t>[Filed 2/12/81, Notice 10/29/80—published 3/4/81, effective 4/8/81]</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3/30/89, Notice 2/8/89—published 4/19/89, effective 5/24/89]</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8866B</w:t>
      </w:r>
      <w:r>
        <w:rPr>
          <w:rFonts w:ascii="Times New Roman" w:hAnsi="Times New Roman"/>
          <w:b w:val="false"/>
          <w:i w:val="false"/>
          <w:color w:val="000000"/>
          <w:sz w:val="21"/>
        </w:rPr>
        <w:t xml:space="preserve"> (Notice ARC 8616B, IAB 3/24/10)</w:t>
      </w:r>
      <w:r>
        <w:rPr>
          <w:rFonts w:ascii="Times New Roman" w:hAnsi="Times New Roman"/>
          <w:b w:val="false"/>
          <w:i w:val="false"/>
          <w:color w:val="000000"/>
          <w:sz w:val="21"/>
        </w:rPr>
        <w:t>, IAB 6/30/10, effective 8/4/10]</w:t>
      </w:r>
      <w:r>
        <w:br/>
      </w:r>
      <w:r>
        <w:rPr>
          <w:rFonts w:ascii="Times New Roman" w:hAnsi="Times New Roman"/>
          <w:b w:val="false"/>
          <w:i w:val="false"/>
          <w:color w:val="000000"/>
          <w:sz w:val="21"/>
        </w:rPr>
        <w:t>[Filed ARC 8867B</w:t>
      </w:r>
      <w:r>
        <w:rPr>
          <w:rFonts w:ascii="Times New Roman" w:hAnsi="Times New Roman"/>
          <w:b w:val="false"/>
          <w:i w:val="false"/>
          <w:color w:val="000000"/>
          <w:sz w:val="21"/>
        </w:rPr>
        <w:t xml:space="preserve"> (Notice ARC 8617B, IAB 3/24/10)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9040B</w:t>
      </w:r>
      <w:r>
        <w:rPr>
          <w:rFonts w:ascii="Times New Roman" w:hAnsi="Times New Roman"/>
          <w:b w:val="false"/>
          <w:i w:val="false"/>
          <w:color w:val="000000"/>
          <w:sz w:val="21"/>
        </w:rPr>
        <w:t xml:space="preserve"> (Notice ARC 8868B,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9123B</w:t>
      </w:r>
      <w:r>
        <w:rPr>
          <w:rFonts w:ascii="Times New Roman" w:hAnsi="Times New Roman"/>
          <w:b w:val="false"/>
          <w:i w:val="false"/>
          <w:color w:val="000000"/>
          <w:sz w:val="21"/>
        </w:rPr>
        <w:t xml:space="preserve"> (Notice ARC 8988B, IAB 8/11/10)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9327B</w:t>
      </w:r>
      <w:r>
        <w:rPr>
          <w:rFonts w:ascii="Times New Roman" w:hAnsi="Times New Roman"/>
          <w:b w:val="false"/>
          <w:i w:val="false"/>
          <w:color w:val="000000"/>
          <w:sz w:val="21"/>
        </w:rPr>
        <w:t xml:space="preserve"> (Notice ARC 9202B, IAB 11/3/10)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7688C</w:t>
      </w:r>
      <w:r>
        <w:rPr>
          <w:rFonts w:ascii="Times New Roman" w:hAnsi="Times New Roman"/>
          <w:b w:val="false"/>
          <w:i w:val="false"/>
          <w:color w:val="000000"/>
          <w:sz w:val="21"/>
        </w:rPr>
        <w:t xml:space="preserve"> (Notice ARC 7395C,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32.2.pdf" Type="http://schemas.openxmlformats.org/officeDocument/2006/relationships/hyperlink" Id="rId5"/>
    <Relationship TargetMode="External" Target="https://www.legis.iowa.gov/docs/iac/rule/481.1032.2.pdf" Type="http://schemas.openxmlformats.org/officeDocument/2006/relationships/hyperlink" Id="rId6"/>
    <Relationship TargetMode="External" Target="https://www.legis.iowa.gov/docs/iac/rule/481.1025.3.pdf" Type="http://schemas.openxmlformats.org/officeDocument/2006/relationships/hyperlink" Id="rId7"/>
    <Relationship TargetMode="External" Target="https://www.legis.iowa.gov/docs/iac/rule/481.1027.1.pdf" Type="http://schemas.openxmlformats.org/officeDocument/2006/relationships/hyperlink" Id="rId8"/>
    <Relationship TargetMode="External" Target="https://www.legis.iowa.gov/docs/ico/chapter/54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