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1031</w:t>
      </w:r>
    </w:p>
    <w:p>
      <w:pPr>
        <w:spacing w:before="0" w:after="0"/>
        <w:ind w:left="120"/>
        <w:jc w:val="center"/>
      </w:pPr>
      <w:r>
        <w:rPr>
          <w:rFonts w:ascii="Times New Roman" w:hAnsi="Times New Roman"/>
          <w:b w:val="false"/>
          <w:i w:val="false"/>
          <w:color w:val="000000"/>
          <w:sz w:val="21"/>
        </w:rPr>
        <w:t>PEER REVIEW</w:t>
      </w:r>
    </w:p>
    <w:p>
      <w:pPr>
        <w:spacing w:before="0" w:after="0"/>
        <w:ind w:left="120"/>
        <w:jc w:val="center"/>
      </w:pPr>
      <w:r>
        <w:rPr>
          <w:rFonts w:ascii="Times New Roman" w:hAnsi="Times New Roman"/>
          <w:b w:val="false"/>
          <w:i w:val="false"/>
          <w:color w:val="000000"/>
          <w:sz w:val="20"/>
        </w:rPr>
        <w:t>[Prior to 5/1/02, see 193A—Chapter 17]</w:t>
      </w:r>
    </w:p>
    <w:p>
      <w:pPr>
        <w:spacing w:before="0" w:after="0"/>
        <w:ind w:left="120"/>
        <w:jc w:val="center"/>
      </w:pPr>
      <w:r>
        <w:rPr>
          <w:rFonts w:ascii="Times New Roman" w:hAnsi="Times New Roman"/>
          <w:b w:val="false"/>
          <w:i w:val="false"/>
          <w:color w:val="000000"/>
          <w:sz w:val="20"/>
        </w:rPr>
        <w:t>[Prior to 6/10/26, see Accountancy Examining Board[193A]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481—1031.1</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obligations. </w:t>
      </w:r>
      <w:r>
        <w:rPr>
          <w:rFonts w:ascii="Times New Roman" w:hAnsi="Times New Roman"/>
          <w:b w:val="false"/>
          <w:i w:val="false"/>
          <w:color w:val="000000"/>
          <w:sz w:val="22"/>
        </w:rPr>
        <w:t>As a condition of renewal for a CPA or an LPA who issues compilation reports other than through a CPA or an LPA firm that holds a permit to practice, and as a condition of permit renewal for LPA firms that issue compilation reports or CPA firms that provide attest services or issue compilation reports, the applicant shall submit certification of completion of a peer review issued pursuant to this chapter. Such review needs to be completed at the highest level of service provided by the firm or licensee. The performance of preparation services under SSARS 21 does not alone subject a firm or individual to peer review, although if a firm or individual is otherwise subject to peer review, the reviewer may include preparation services in the scope of practices reviewed.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481—1031.2</w:t>
      </w:r>
      <w:r>
        <w:rPr>
          <w:rFonts w:ascii="Times New Roman" w:hAnsi="Times New Roman"/>
          <w:b/>
          <w:i w:val="false"/>
          <w:color w:val="000000"/>
          <w:sz w:val="22"/>
        </w:rPr>
        <w:t xml:space="preserve">(542) </w:t>
      </w:r>
      <w:r>
        <w:rPr>
          <w:rFonts w:ascii="Times New Roman" w:hAnsi="Times New Roman"/>
          <w:b/>
          <w:i w:val="false"/>
          <w:color w:val="000000"/>
          <w:sz w:val="22"/>
        </w:rPr>
        <w:t xml:space="preserve">Three-year cycle. </w:t>
      </w:r>
      <w:r>
        <w:rPr>
          <w:rFonts w:ascii="Times New Roman" w:hAnsi="Times New Roman"/>
          <w:b w:val="false"/>
          <w:i w:val="false"/>
          <w:color w:val="000000"/>
          <w:sz w:val="22"/>
        </w:rPr>
        <w:t>During the three-year period ending December 31 preceding the application for renewal of a certificate, license, or permit to practice, the individual licensee or firm shall have completed a peer review in accordance with this chapter. A peer review shall be completed no less often than once every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481—1031.3</w:t>
      </w:r>
      <w:r>
        <w:rPr>
          <w:rFonts w:ascii="Times New Roman" w:hAnsi="Times New Roman"/>
          <w:b/>
          <w:i w:val="false"/>
          <w:color w:val="000000"/>
          <w:sz w:val="22"/>
        </w:rPr>
        <w:t xml:space="preserve">(542) </w:t>
      </w:r>
      <w:r>
        <w:rPr>
          <w:rFonts w:ascii="Times New Roman" w:hAnsi="Times New Roman"/>
          <w:b/>
          <w:i w:val="false"/>
          <w:color w:val="000000"/>
          <w:sz w:val="22"/>
        </w:rPr>
        <w:t xml:space="preserve">System of internal quality control. </w:t>
      </w:r>
      <w:r>
        <w:rPr>
          <w:rFonts w:ascii="Times New Roman" w:hAnsi="Times New Roman"/>
          <w:b w:val="false"/>
          <w:i w:val="false"/>
          <w:color w:val="000000"/>
          <w:sz w:val="22"/>
        </w:rPr>
        <w:t>If the firm has not performed any attest or compilation services prior to the application for renewal, the firm will have in place a system of internal quality control prior to the commencement of an engagement including attest or compilation services and come into compliance with the peer review obligations within 18 months of completion of an engagement including attest or compilation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481—1031.4</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programs that qualify. </w:t>
      </w:r>
      <w:r>
        <w:rPr>
          <w:rFonts w:ascii="Times New Roman" w:hAnsi="Times New Roman"/>
          <w:b w:val="false"/>
          <w:i w:val="false"/>
          <w:color w:val="000000"/>
          <w:sz w:val="22"/>
        </w:rPr>
        <w:t>A firm’s completion of a peer review program endorsed or supported by the AICPA, the National Society of Accountants or other substantially similar review programs in Iowa or other states approved by the board satisfies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481—1031.5</w:t>
      </w:r>
      <w:r>
        <w:rPr>
          <w:rFonts w:ascii="Times New Roman" w:hAnsi="Times New Roman"/>
          <w:b/>
          <w:i w:val="false"/>
          <w:color w:val="000000"/>
          <w:sz w:val="22"/>
        </w:rPr>
        <w:t xml:space="preserve">(542) </w:t>
      </w:r>
      <w:r>
        <w:rPr>
          <w:rFonts w:ascii="Times New Roman" w:hAnsi="Times New Roman"/>
          <w:b/>
          <w:i w:val="false"/>
          <w:color w:val="000000"/>
          <w:sz w:val="22"/>
        </w:rPr>
        <w:t xml:space="preserve">Waiver of peer review. </w:t>
      </w:r>
      <w:r>
        <w:rPr>
          <w:rFonts w:ascii="Times New Roman" w:hAnsi="Times New Roman"/>
          <w:b w:val="false"/>
          <w:i w:val="false"/>
          <w:color w:val="000000"/>
          <w:sz w:val="22"/>
        </w:rPr>
        <w:t xml:space="preserve">At the time of renewal, a licensee or firm may request a waiver from this chapter, as provided in Iowa Code sections </w:t>
      </w:r>
      <w:hyperlink r:id="rId5">
        <w:r>
          <w:rPr>
            <w:rStyle w:val="Hyperlink"/>
            <w:rFonts w:ascii="Times New Roman" w:hAnsi="Times New Roman"/>
            <w:b w:val="false"/>
            <w:i w:val="false"/>
            <w:color w:val="000000"/>
            <w:sz w:val="22"/>
          </w:rPr>
          <w:t>542.7(9)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542.8(18)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481—1031.6</w:t>
      </w:r>
      <w:r>
        <w:rPr>
          <w:rFonts w:ascii="Times New Roman" w:hAnsi="Times New Roman"/>
          <w:b/>
          <w:i w:val="false"/>
          <w:color w:val="000000"/>
          <w:sz w:val="22"/>
        </w:rPr>
        <w:t xml:space="preserve">(542) </w:t>
      </w:r>
      <w:r>
        <w:rPr>
          <w:rFonts w:ascii="Times New Roman" w:hAnsi="Times New Roman"/>
          <w:b/>
          <w:i w:val="false"/>
          <w:color w:val="000000"/>
          <w:sz w:val="22"/>
        </w:rPr>
        <w:t xml:space="preserve">Submission of peer review reports. </w:t>
      </w:r>
      <w:r>
        <w:rPr>
          <w:rFonts w:ascii="Times New Roman" w:hAnsi="Times New Roman"/>
          <w:b w:val="false"/>
          <w:i w:val="false"/>
          <w:color w:val="000000"/>
          <w:sz w:val="22"/>
        </w:rPr>
        <w:t>Unless the subject of a peer review timely objects in writing to the administering entity of the peer review program, the administering entity will make available to the board, within 30 days of the issuance of the peer review acceptance letter, the final peer review report or such peer review records as are designated by the peer review program in which the administering entity participates. The subject of a peer review may voluntarily submit the final peer review report directly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7687C</w:t>
      </w:r>
      <w:r>
        <w:rPr>
          <w:rFonts w:ascii="Times New Roman" w:hAnsi="Times New Roman"/>
          <w:b w:val="false"/>
          <w:i w:val="false"/>
          <w:color w:val="000000"/>
          <w:sz w:val="21"/>
        </w:rPr>
        <w:t xml:space="preserve"> (Notice ARC 7394C,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7.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