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1029</w:t>
      </w:r>
    </w:p>
    <w:p>
      <w:pPr>
        <w:spacing w:before="0" w:after="0"/>
        <w:ind w:left="120"/>
        <w:jc w:val="center"/>
      </w:pPr>
      <w:r>
        <w:rPr>
          <w:rFonts w:ascii="Times New Roman" w:hAnsi="Times New Roman"/>
          <w:b w:val="false"/>
          <w:i w:val="false"/>
          <w:color w:val="000000"/>
          <w:sz w:val="21"/>
        </w:rPr>
        <w:t>RECIPROCITY AND SUBSTANTIAL EQUIVALENCY</w:t>
      </w:r>
    </w:p>
    <w:p>
      <w:pPr>
        <w:spacing w:before="0" w:after="0"/>
        <w:ind w:left="120"/>
        <w:jc w:val="center"/>
      </w:pPr>
      <w:r>
        <w:rPr>
          <w:rFonts w:ascii="Times New Roman" w:hAnsi="Times New Roman"/>
          <w:b w:val="false"/>
          <w:i w:val="false"/>
          <w:color w:val="000000"/>
          <w:sz w:val="20"/>
        </w:rPr>
        <w:t>[Prior to 6/10/26, see Accountancy Examining Board[193A]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481—1029.1</w:t>
      </w:r>
      <w:r>
        <w:rPr>
          <w:rFonts w:ascii="Times New Roman" w:hAnsi="Times New Roman"/>
          <w:b/>
          <w:i w:val="false"/>
          <w:color w:val="000000"/>
          <w:sz w:val="22"/>
        </w:rPr>
        <w:t xml:space="preserve">(542) </w:t>
      </w:r>
      <w:r>
        <w:rPr>
          <w:rFonts w:ascii="Times New Roman" w:hAnsi="Times New Roman"/>
          <w:b/>
          <w:i w:val="false"/>
          <w:color w:val="000000"/>
          <w:sz w:val="22"/>
        </w:rPr>
        <w:t xml:space="preserve">Iowa CPA certificate necessary. </w:t>
      </w:r>
      <w:r>
        <w:rPr>
          <w:rFonts w:ascii="Times New Roman" w:hAnsi="Times New Roman"/>
          <w:b w:val="false"/>
          <w:i w:val="false"/>
          <w:color w:val="000000"/>
          <w:sz w:val="22"/>
        </w:rPr>
        <w:t>A person who holds a certificate or license to practice as a CPA in another state or a substantially equivalent designation from a foreign jurisdiction may apply to the board for an Iowa CPA certificate and has to do so if the person plans to establish the person’s principal place of business as a CPA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481—1029.2</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forms. </w:t>
      </w:r>
      <w:r>
        <w:rPr>
          <w:rFonts w:ascii="Times New Roman" w:hAnsi="Times New Roman"/>
          <w:b w:val="false"/>
          <w:i w:val="false"/>
          <w:color w:val="000000"/>
          <w:sz w:val="22"/>
        </w:rPr>
        <w:t xml:space="preserve">Application forms may only be completed and submitted through the online application process. An applicant will attest that all information provided on the form is true and accurate. An application may be denied based on a false statement of material fact. A nonrefundable fee will be charged to each applicant as provided in </w:t>
      </w:r>
      <w:hyperlink r:id="rId5">
        <w:r>
          <w:rPr>
            <w:rStyle w:val="Hyperlink"/>
            <w:rFonts w:ascii="Times New Roman" w:hAnsi="Times New Roman"/>
            <w:b w:val="false"/>
            <w:i w:val="false"/>
            <w:color w:val="000000"/>
            <w:sz w:val="22"/>
          </w:rPr>
          <w:t>481—Chapter 1032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481—1029.3</w:t>
      </w:r>
      <w:r>
        <w:rPr>
          <w:rFonts w:ascii="Times New Roman" w:hAnsi="Times New Roman"/>
          <w:b/>
          <w:i w:val="false"/>
          <w:color w:val="000000"/>
          <w:sz w:val="22"/>
        </w:rPr>
        <w:t xml:space="preserve">(542) </w:t>
      </w:r>
      <w:r>
        <w:rPr>
          <w:rFonts w:ascii="Times New Roman" w:hAnsi="Times New Roman"/>
          <w:b/>
          <w:i w:val="false"/>
          <w:color w:val="000000"/>
          <w:sz w:val="22"/>
        </w:rPr>
        <w:t xml:space="preserve">Background and character.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1029.3(1)</w:t>
      </w:r>
      <w:r>
        <w:rPr>
          <w:rFonts w:ascii="Times New Roman" w:hAnsi="Times New Roman"/>
          <w:b w:val="false"/>
          <w:i w:val="false"/>
          <w:color w:val="000000"/>
          <w:sz w:val="22"/>
        </w:rPr>
        <w:t> </w:t>
      </w:r>
      <w:r>
        <w:rPr>
          <w:rFonts w:ascii="Times New Roman" w:hAnsi="Times New Roman"/>
          <w:b w:val="false"/>
          <w:i w:val="false"/>
          <w:color w:val="000000"/>
          <w:sz w:val="22"/>
        </w:rPr>
        <w:t>An applicant for a CPA certificate under this chapter will disclose on the application all background and character information requested by the board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states or foreign jurisdictions in which the applicant has applied for or holds a CPA certificate or license, or a substantially equivalent designation from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past denial, revocation, suspension, or refusal to renew a CPA certificate, license or permit to practice, or voluntary surrender of a CPA certificate, license or permit to resolve or avoid disciplinary action, or similar actions concerning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form of discipline imposed against the holder of a CPA certificate, license or permit, or a substantially equivalent foreign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conviction of any felony or any crime described in Iowa Code section </w:t>
      </w:r>
      <w:hyperlink r:id="rId6">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revocation of a professional license of any kind in this or any other jurisdiction;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Such additional information as the board may request to determine if grounds exist to deny certification under </w:t>
      </w:r>
      <w:hyperlink r:id="rId7">
        <w:r>
          <w:rPr>
            <w:rStyle w:val="Hyperlink"/>
            <w:rFonts w:ascii="Times New Roman" w:hAnsi="Times New Roman"/>
            <w:b w:val="false"/>
            <w:i w:val="false"/>
            <w:color w:val="000000"/>
            <w:sz w:val="22"/>
          </w:rPr>
          <w:t>481—subrule 1023.1(2)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an application based on prior discipline imposed against the holder of a CPA certificate, license or permit, or a substantially equivalent foreign designation, or on any of the grounds listed in </w:t>
      </w:r>
      <w:hyperlink r:id="rId8">
        <w:r>
          <w:rPr>
            <w:rStyle w:val="Hyperlink"/>
            <w:rFonts w:ascii="Times New Roman" w:hAnsi="Times New Roman"/>
            <w:b w:val="false"/>
            <w:i w:val="false"/>
            <w:color w:val="000000"/>
            <w:sz w:val="22"/>
          </w:rPr>
          <w:t>481—subrule 1023.1(2)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481—1029.4</w:t>
      </w:r>
      <w:r>
        <w:rPr>
          <w:rFonts w:ascii="Times New Roman" w:hAnsi="Times New Roman"/>
          <w:b/>
          <w:i w:val="false"/>
          <w:color w:val="000000"/>
          <w:sz w:val="22"/>
        </w:rPr>
        <w:t xml:space="preserve">(542) </w:t>
      </w:r>
      <w:r>
        <w:rPr>
          <w:rFonts w:ascii="Times New Roman" w:hAnsi="Times New Roman"/>
          <w:b/>
          <w:i w:val="false"/>
          <w:color w:val="000000"/>
          <w:sz w:val="22"/>
        </w:rPr>
        <w:t xml:space="preserve">Verification of state licensure. </w:t>
      </w:r>
      <w:r>
        <w:rPr>
          <w:rFonts w:ascii="Times New Roman" w:hAnsi="Times New Roman"/>
          <w:b w:val="false"/>
          <w:i w:val="false"/>
          <w:color w:val="000000"/>
          <w:sz w:val="22"/>
        </w:rPr>
        <w:t xml:space="preserve">An applicant holding a CPA certificate or license from another state or states will submit verification that the applicant’s CPA certificate or license is valid and in good standing in the state in which the applicant’s principal place of business is located. An applicant applying for a CPA certificate under the substantial equivalency provisions of Iowa Code section </w:t>
      </w:r>
      <w:hyperlink r:id="rId9">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paragraph </w:t>
      </w:r>
      <w:hyperlink r:id="rId10">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attach a letter of good standing to the application. Such letter of good standing will be prepared by the state in which the applicant’s principal place of business is located and be dated within six months of the date of the application. To expedite the application process, the board will accept verification from another state’s board by facsimile or email. The board reserves the right to request an original verification document directly from another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481—1029.5</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CPA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1029.5(1)</w:t>
      </w:r>
      <w:r>
        <w:rPr>
          <w:rFonts w:ascii="Times New Roman" w:hAnsi="Times New Roman"/>
          <w:b w:val="false"/>
          <w:i w:val="false"/>
          <w:color w:val="000000"/>
          <w:sz w:val="22"/>
        </w:rPr>
        <w:t> </w:t>
      </w:r>
      <w:r>
        <w:rPr>
          <w:rFonts w:ascii="Times New Roman" w:hAnsi="Times New Roman"/>
          <w:b w:val="false"/>
          <w:i w:val="false"/>
          <w:color w:val="000000"/>
          <w:sz w:val="22"/>
        </w:rPr>
        <w:t>A person who holds in good standing a valid CPA certificate or license from another state is deemed qualified for an Iowa CPA certificate if the person satisfies one of the following three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Substantially equivalent state. </w:t>
      </w:r>
      <w:r>
        <w:rPr>
          <w:rFonts w:ascii="Times New Roman" w:hAnsi="Times New Roman"/>
          <w:b w:val="false"/>
          <w:i w:val="false"/>
          <w:color w:val="000000"/>
          <w:sz w:val="22"/>
        </w:rPr>
        <w:t xml:space="preserve">The licensing standards on education, examination and experience of the state that issued the applicant’s CPA certificate or license were, at the time of licensure, comparable or superior to the education, examination and experience obligations of Iowa Code chapter </w:t>
      </w:r>
      <w:hyperlink r:id="rId11">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 effect at the time the application is filed in Iowa. The board may accept the determination of substantial equivalency made by the National Association of State Boards of Accountancy or may make an independent determination of substantial equivalency.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substantial equivalency. </w:t>
      </w:r>
      <w:r>
        <w:rPr>
          <w:rFonts w:ascii="Times New Roman" w:hAnsi="Times New Roman"/>
          <w:b w:val="false"/>
          <w:i w:val="false"/>
          <w:color w:val="000000"/>
          <w:sz w:val="22"/>
        </w:rPr>
        <w:t xml:space="preserve">The applicant’s individual qualifications on education, examination and experience are comparable or superior to the education, examination and experience obligations of Iowa Code chapter </w:t>
      </w:r>
      <w:hyperlink r:id="rId1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 effect at the time the application is filed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“Four-in-ten rule.” </w:t>
      </w:r>
      <w:r>
        <w:rPr>
          <w:rFonts w:ascii="Times New Roman" w:hAnsi="Times New Roman"/>
          <w:b w:val="false"/>
          <w:i w:val="false"/>
          <w:color w:val="000000"/>
          <w:sz w:val="22"/>
        </w:rPr>
        <w:t>The applicant satisfies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passed the examination necessary for issuance of the applicant’s certificate or license with grades that would have been passing grades at the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had at least four years of experience within the ten years immediately preceding the application that occurred after the applicant passed the examination upon which the CPA certificate or license was based and that in the board’s opinion is substantially equivalent to the obligations set forth in Iowa Code section </w:t>
      </w:r>
      <w:hyperlink r:id="rId13">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applicant’s CPA certificate or license was issued more than four years prior to the filing of the application in this state, the applicant has fulfilled the continuing professional education mandates as described in Iowa Code section </w:t>
      </w:r>
      <w:hyperlink r:id="rId14">
        <w:r>
          <w:rPr>
            <w:rStyle w:val="Hyperlink"/>
            <w:rFonts w:ascii="Times New Roman" w:hAnsi="Times New Roman"/>
            <w:b w:val="false"/>
            <w:i w:val="false"/>
            <w:color w:val="000000"/>
            <w:sz w:val="22"/>
          </w:rPr>
          <w:t>542.6(3)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holds in good standing a certificate, license or designation from a foreign authority that is substantially equivalent to an Iowa CPA certificate is deemed qualified for an Iowa CPA certificate if the person satisfies all of the provisions of Iowa Code section </w:t>
      </w:r>
      <w:hyperlink r:id="rId16">
        <w:r>
          <w:rPr>
            <w:rStyle w:val="Hyperlink"/>
            <w:rFonts w:ascii="Times New Roman" w:hAnsi="Times New Roman"/>
            <w:b w:val="false"/>
            <w:i w:val="false"/>
            <w:color w:val="000000"/>
            <w:sz w:val="22"/>
          </w:rPr>
          <w:t>542.19(3)</w:t>
        </w:r>
      </w:hyperlink>
      <w:r>
        <w:rPr>
          <w:rFonts w:ascii="Times New Roman" w:hAnsi="Times New Roman"/>
          <w:b w:val="false"/>
          <w:i w:val="false"/>
          <w:color w:val="000000"/>
          <w:sz w:val="22"/>
        </w:rPr>
        <w:t>. The burden is on the applicant to demonstrate that such certificate, license or foreign designation is in full force and effect and that the prerequisites for that certificate, license or foreign designation are comparable or superior to those needed for a CPA certificate in this state. Original verification from the foreign authority that issued the certificate, license or designation is needed to demonstrate that such certificate, license or designation is valid and in good standing. If the applicant cannot establish comparable or superior qualifications, the applicant will need to pass the Uniform Certified Public Accountant Examination designed to test the applicant’s knowledge of practice in this state and country. If the applicant is a Canadian Chartered Accountant, Australian Chartered Accountant, Ireland Chartered Accountant, Mexico Contador Público Certificado (CPC), New Zealand Chartered Accountant, Scottish Chartered Accountant, or South African Chartered Accountant, the applicant may be obligated to take the International Qualification Examination (IQEX) in lieu of the uniform certified public accountant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an Iowa CPA certificate based on the provisions of paragraph </w:t>
      </w:r>
      <w:hyperlink r:id="rId17">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“b,”</w:t>
      </w:r>
      <w:r>
        <w:rPr>
          <w:rFonts w:ascii="Times New Roman" w:hAnsi="Times New Roman"/>
          <w:b w:val="false"/>
          <w:i w:val="false"/>
          <w:color w:val="000000"/>
          <w:sz w:val="22"/>
        </w:rPr>
        <w:t xml:space="preserve"> paragraph </w:t>
      </w:r>
      <w:hyperlink r:id="rId18">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subrule </w:t>
      </w:r>
      <w:hyperlink r:id="rId19">
        <w:r>
          <w:rPr>
            <w:rStyle w:val="Hyperlink"/>
            <w:rFonts w:ascii="Times New Roman" w:hAnsi="Times New Roman"/>
            <w:b w:val="false"/>
            <w:i w:val="false"/>
            <w:color w:val="000000"/>
            <w:sz w:val="22"/>
          </w:rPr>
          <w:t>1029.5(2)</w:t>
        </w:r>
      </w:hyperlink>
      <w:r>
        <w:rPr>
          <w:rFonts w:ascii="Times New Roman" w:hAnsi="Times New Roman"/>
          <w:b w:val="false"/>
          <w:i w:val="false"/>
          <w:color w:val="000000"/>
          <w:sz w:val="22"/>
        </w:rPr>
        <w:t xml:space="preserve"> will submit such supporting information on education, examination or experience as the board deems reasonable to determine whether the applicant qualifies for licensure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481—1029.6</w:t>
      </w:r>
      <w:r>
        <w:rPr>
          <w:rFonts w:ascii="Times New Roman" w:hAnsi="Times New Roman"/>
          <w:b/>
          <w:i w:val="false"/>
          <w:color w:val="000000"/>
          <w:sz w:val="22"/>
        </w:rPr>
        <w:t xml:space="preserve">(542) </w:t>
      </w:r>
      <w:r>
        <w:rPr>
          <w:rFonts w:ascii="Times New Roman" w:hAnsi="Times New Roman"/>
          <w:b/>
          <w:i w:val="false"/>
          <w:color w:val="000000"/>
          <w:sz w:val="22"/>
        </w:rPr>
        <w:t xml:space="preserve">Continuing obligations. </w:t>
      </w:r>
      <w:r>
        <w:rPr>
          <w:rFonts w:ascii="Times New Roman" w:hAnsi="Times New Roman"/>
          <w:b w:val="false"/>
          <w:i w:val="false"/>
          <w:color w:val="000000"/>
          <w:sz w:val="22"/>
        </w:rPr>
        <w:t xml:space="preserve">A person issued a CPA certificate under this chapter is subject to all laws and rules governing persons holding CPA certificates issued in this state including, without limitation, those concerning continuing education, peer review, and notification of crimes and professional discipline. However, a person issued a CPA certificate under this chapter who maintains the principal place of business in a different state and who maintains in good standing a valid CPA certificate or license in that state is deemed to have satisfied the continuing education and peer review obligations described in </w:t>
      </w:r>
      <w:hyperlink r:id="rId20">
        <w:r>
          <w:rPr>
            <w:rStyle w:val="Hyperlink"/>
            <w:rFonts w:ascii="Times New Roman" w:hAnsi="Times New Roman"/>
            <w:b w:val="false"/>
            <w:i w:val="false"/>
            <w:color w:val="000000"/>
            <w:sz w:val="22"/>
          </w:rPr>
          <w:t>481—Chapters 1030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1031</w:t>
        </w:r>
      </w:hyperlink>
      <w:r>
        <w:rPr>
          <w:rFonts w:ascii="Times New Roman" w:hAnsi="Times New Roman"/>
          <w:b w:val="false"/>
          <w:i w:val="false"/>
          <w:color w:val="000000"/>
          <w:sz w:val="22"/>
        </w:rPr>
        <w:t xml:space="preserve"> if the person satisfies similar obligations in the state in which the principal place of business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481—1029.7</w:t>
      </w:r>
      <w:r>
        <w:rPr>
          <w:rFonts w:ascii="Times New Roman" w:hAnsi="Times New Roman"/>
          <w:b/>
          <w:i w:val="false"/>
          <w:color w:val="000000"/>
          <w:sz w:val="22"/>
        </w:rPr>
        <w:t xml:space="preserve">(542) </w:t>
      </w:r>
      <w:r>
        <w:rPr>
          <w:rFonts w:ascii="Times New Roman" w:hAnsi="Times New Roman"/>
          <w:b/>
          <w:i w:val="false"/>
          <w:color w:val="000000"/>
          <w:sz w:val="22"/>
        </w:rPr>
        <w:t xml:space="preserve">Expedited application processing. </w:t>
      </w:r>
      <w:r>
        <w:rPr>
          <w:rFonts w:ascii="Times New Roman" w:hAnsi="Times New Roman"/>
          <w:b w:val="false"/>
          <w:i w:val="false"/>
          <w:color w:val="000000"/>
          <w:sz w:val="22"/>
        </w:rPr>
        <w:t xml:space="preserve">A person applying for a CPA certificate under the substantial equivalency provisions of Iowa Code section </w:t>
      </w:r>
      <w:hyperlink r:id="rId22">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often desires expedited application processing to facilitate cross-border practice. Applications by such persons are especially suitable for rapid processing given the substantially equivalent standards previously enforced in another state. Unless such application reveals grounds to deny the application under subrule </w:t>
      </w:r>
      <w:hyperlink r:id="rId23">
        <w:r>
          <w:rPr>
            <w:rStyle w:val="Hyperlink"/>
            <w:rFonts w:ascii="Times New Roman" w:hAnsi="Times New Roman"/>
            <w:b w:val="false"/>
            <w:i w:val="false"/>
            <w:color w:val="000000"/>
            <w:sz w:val="22"/>
          </w:rPr>
          <w:t>1029.3(2)</w:t>
        </w:r>
      </w:hyperlink>
      <w:r>
        <w:rPr>
          <w:rFonts w:ascii="Times New Roman" w:hAnsi="Times New Roman"/>
          <w:b w:val="false"/>
          <w:i w:val="false"/>
          <w:color w:val="000000"/>
          <w:sz w:val="22"/>
        </w:rPr>
        <w:t xml:space="preserve">, the board is otherwise aware of such grounds, or the application is unaccompanied by the proper fee, the board’s administrator will approve an application that qualifies under Iowa Code section </w:t>
      </w:r>
      <w:hyperlink r:id="rId24">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as rapidly as feasible and deem the effective date of approval to practice in Iowa to be the date the board received the completed application with timely letter of good standing in a substantially equivalent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2719C</w:t>
      </w:r>
      <w:r>
        <w:rPr>
          <w:rFonts w:ascii="Times New Roman" w:hAnsi="Times New Roman"/>
          <w:b w:val="false"/>
          <w:i w:val="false"/>
          <w:color w:val="000000"/>
          <w:sz w:val="21"/>
        </w:rPr>
        <w:t xml:space="preserve"> (Notice ARC 2598C, IAB 6/22/16)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7685C</w:t>
      </w:r>
      <w:r>
        <w:rPr>
          <w:rFonts w:ascii="Times New Roman" w:hAnsi="Times New Roman"/>
          <w:b w:val="false"/>
          <w:i w:val="false"/>
          <w:color w:val="000000"/>
          <w:sz w:val="21"/>
        </w:rPr>
        <w:t xml:space="preserve"> (Notice ARC 7392C,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32.pdf" Type="http://schemas.openxmlformats.org/officeDocument/2006/relationships/hyperlink" Id="rId5"/>
    <Relationship TargetMode="External" Target="https://www.legis.iowa.gov/docs/ico/chapter/542.5.pdf" Type="http://schemas.openxmlformats.org/officeDocument/2006/relationships/hyperlink" Id="rId6"/>
    <Relationship TargetMode="External" Target="https://www.legis.iowa.gov/docs/iac/rule/481.1023.1.pdf" Type="http://schemas.openxmlformats.org/officeDocument/2006/relationships/hyperlink" Id="rId7"/>
    <Relationship TargetMode="External" Target="https://www.legis.iowa.gov/docs/iac/rule/481.1023.1.pdf" Type="http://schemas.openxmlformats.org/officeDocument/2006/relationships/hyperlink" Id="rId8"/>
    <Relationship TargetMode="External" Target="https://www.legis.iowa.gov/docs/ico/chapter/542.19.pdf" Type="http://schemas.openxmlformats.org/officeDocument/2006/relationships/hyperlink" Id="rId9"/>
    <Relationship TargetMode="External" Target="https://www.legis.iowa.gov/docs/iac/rule/481.1029.5.pdf" Type="http://schemas.openxmlformats.org/officeDocument/2006/relationships/hyperlink" Id="rId10"/>
    <Relationship TargetMode="External" Target="https://www.legis.iowa.gov/docs/ico/chapter/542.pdf" Type="http://schemas.openxmlformats.org/officeDocument/2006/relationships/hyperlink" Id="rId11"/>
    <Relationship TargetMode="External" Target="https://www.legis.iowa.gov/docs/ico/chapter/542.pdf" Type="http://schemas.openxmlformats.org/officeDocument/2006/relationships/hyperlink" Id="rId12"/>
    <Relationship TargetMode="External" Target="https://www.legis.iowa.gov/docs/ico/chapter/542.5.pdf" Type="http://schemas.openxmlformats.org/officeDocument/2006/relationships/hyperlink" Id="rId13"/>
    <Relationship TargetMode="External" Target="https://www.legis.iowa.gov/docs/ico/chapter/542.6.pdf" Type="http://schemas.openxmlformats.org/officeDocument/2006/relationships/hyperlink" Id="rId14"/>
    <Relationship TargetMode="External" Target="https://www.legis.iowa.gov/docs/iac/chapter/481.1030.pdf" Type="http://schemas.openxmlformats.org/officeDocument/2006/relationships/hyperlink" Id="rId15"/>
    <Relationship TargetMode="External" Target="https://www.legis.iowa.gov/docs/ico/chapter/542.19.pdf" Type="http://schemas.openxmlformats.org/officeDocument/2006/relationships/hyperlink" Id="rId16"/>
    <Relationship TargetMode="External" Target="https://www.legis.iowa.gov/docs/iac/rule/481.1029.5.pdf" Type="http://schemas.openxmlformats.org/officeDocument/2006/relationships/hyperlink" Id="rId17"/>
    <Relationship TargetMode="External" Target="https://www.legis.iowa.gov/docs/iac/rule/481.1029.5.pdf" Type="http://schemas.openxmlformats.org/officeDocument/2006/relationships/hyperlink" Id="rId18"/>
    <Relationship TargetMode="External" Target="https://www.legis.iowa.gov/docs/iac/rule/481.1029.5.pdf" Type="http://schemas.openxmlformats.org/officeDocument/2006/relationships/hyperlink" Id="rId19"/>
    <Relationship TargetMode="External" Target="https://www.legis.iowa.gov/docs/iac/chapter/481.1030.pdf" Type="http://schemas.openxmlformats.org/officeDocument/2006/relationships/hyperlink" Id="rId20"/>
    <Relationship TargetMode="External" Target="https://www.legis.iowa.gov/docs/iac/chapter/481.1031.pdf" Type="http://schemas.openxmlformats.org/officeDocument/2006/relationships/hyperlink" Id="rId21"/>
    <Relationship TargetMode="External" Target="https://www.legis.iowa.gov/docs/ico/chapter/542.19.pdf" Type="http://schemas.openxmlformats.org/officeDocument/2006/relationships/hyperlink" Id="rId22"/>
    <Relationship TargetMode="External" Target="https://www.legis.iowa.gov/docs/iac/rule/481.1029.3.pdf" Type="http://schemas.openxmlformats.org/officeDocument/2006/relationships/hyperlink" Id="rId23"/>
    <Relationship TargetMode="External" Target="https://www.legis.iowa.gov/docs/ico/chapter/542.19.pdf" Type="http://schemas.openxmlformats.org/officeDocument/2006/relationships/hyperlink" Id="rId24"/>
    <Relationship TargetMode="External" Target="https://www.legis.iowa.gov/docs/ico/chapter/542.19.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