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1027</w:t>
      </w:r>
    </w:p>
    <w:p>
      <w:pPr>
        <w:spacing w:before="0" w:after="0"/>
        <w:ind w:left="120"/>
        <w:jc w:val="center"/>
      </w:pPr>
      <w:r>
        <w:rPr>
          <w:rFonts w:ascii="Times New Roman" w:hAnsi="Times New Roman"/>
          <w:b w:val="false"/>
          <w:i w:val="false"/>
          <w:color w:val="000000"/>
          <w:sz w:val="21"/>
        </w:rPr>
        <w:t>CERTIFIED PUBLIC ACCOUNTING FIRMS</w:t>
      </w:r>
    </w:p>
    <w:p>
      <w:pPr>
        <w:spacing w:before="0" w:after="0"/>
        <w:ind w:left="120"/>
        <w:jc w:val="center"/>
      </w:pPr>
      <w:r>
        <w:rPr>
          <w:rFonts w:ascii="Times New Roman" w:hAnsi="Times New Roman"/>
          <w:b w:val="false"/>
          <w:i w:val="false"/>
          <w:color w:val="000000"/>
          <w:sz w:val="20"/>
        </w:rPr>
        <w:t>[Prior to 5/1/02, see 193A—Chapter 8]</w:t>
      </w:r>
    </w:p>
    <w:p>
      <w:pPr>
        <w:spacing w:before="0" w:after="0"/>
        <w:ind w:left="120"/>
        <w:jc w:val="center"/>
      </w:pPr>
      <w:r>
        <w:rPr>
          <w:rFonts w:ascii="Times New Roman" w:hAnsi="Times New Roman"/>
          <w:b w:val="false"/>
          <w:i w:val="false"/>
          <w:color w:val="000000"/>
          <w:sz w:val="20"/>
        </w:rPr>
        <w:t>[Prior to 6/10/26, see Accountancy Examining Board[193A] Ch 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481—1027.1</w:t>
      </w:r>
      <w:r>
        <w:rPr>
          <w:rFonts w:ascii="Times New Roman" w:hAnsi="Times New Roman"/>
          <w:b/>
          <w:i w:val="false"/>
          <w:color w:val="000000"/>
          <w:sz w:val="22"/>
        </w:rPr>
        <w:t xml:space="preserve">(542) </w:t>
      </w:r>
      <w:r>
        <w:rPr>
          <w:rFonts w:ascii="Times New Roman" w:hAnsi="Times New Roman"/>
          <w:b/>
          <w:i w:val="false"/>
          <w:color w:val="000000"/>
          <w:sz w:val="22"/>
        </w:rPr>
        <w:t xml:space="preserve">When licensure is needed.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1027.1(1)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5">
        <w:r>
          <w:rPr>
            <w:rStyle w:val="Hyperlink"/>
            <w:rFonts w:ascii="Times New Roman" w:hAnsi="Times New Roman"/>
            <w:b w:val="false"/>
            <w:i w:val="false"/>
            <w:color w:val="000000"/>
            <w:sz w:val="22"/>
          </w:rPr>
          <w:t>481—Chapter 1040</w:t>
        </w:r>
      </w:hyperlink>
      <w:r>
        <w:rPr>
          <w:rFonts w:ascii="Times New Roman" w:hAnsi="Times New Roman"/>
          <w:b w:val="false"/>
          <w:i w:val="false"/>
          <w:color w:val="000000"/>
          <w:sz w:val="22"/>
        </w:rPr>
        <w:t xml:space="preserve">, a sole proprietorship, corporation, partnership, limited liability company, or any other form of organization is obligated to apply for a permit to practice as a firm of certified public accountants pursuant to Iowa Code section </w:t>
      </w:r>
      <w:hyperlink r:id="rId6">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1027.1(2)</w:t>
      </w:r>
      <w:r>
        <w:rPr>
          <w:rFonts w:ascii="Times New Roman" w:hAnsi="Times New Roman"/>
          <w:b w:val="false"/>
          <w:i w:val="false"/>
          <w:color w:val="000000"/>
          <w:sz w:val="22"/>
        </w:rPr>
        <w:t> </w:t>
      </w:r>
      <w:r>
        <w:rPr>
          <w:rFonts w:ascii="Times New Roman" w:hAnsi="Times New Roman"/>
          <w:b w:val="false"/>
          <w:i w:val="false"/>
          <w:color w:val="000000"/>
          <w:sz w:val="22"/>
        </w:rPr>
        <w:t xml:space="preserve">A firm that is not subject to subrule </w:t>
      </w:r>
      <w:hyperlink r:id="rId7">
        <w:r>
          <w:rPr>
            <w:rStyle w:val="Hyperlink"/>
            <w:rFonts w:ascii="Times New Roman" w:hAnsi="Times New Roman"/>
            <w:b w:val="false"/>
            <w:i w:val="false"/>
            <w:color w:val="000000"/>
            <w:sz w:val="22"/>
          </w:rPr>
          <w:t>1027.1(1)</w:t>
        </w:r>
      </w:hyperlink>
      <w:r>
        <w:rPr>
          <w:rFonts w:ascii="Times New Roman" w:hAnsi="Times New Roman"/>
          <w:b w:val="false"/>
          <w:i w:val="false"/>
          <w:color w:val="000000"/>
          <w:sz w:val="22"/>
        </w:rPr>
        <w:t xml:space="preserve"> may practice public accounting in Iowa in accordance with Iowa Code section </w:t>
      </w:r>
      <w:hyperlink r:id="rId8">
        <w:r>
          <w:rPr>
            <w:rStyle w:val="Hyperlink"/>
            <w:rFonts w:ascii="Times New Roman" w:hAnsi="Times New Roman"/>
            <w:b w:val="false"/>
            <w:i w:val="false"/>
            <w:color w:val="000000"/>
            <w:sz w:val="22"/>
          </w:rPr>
          <w:t>542.7(1)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1027.1(3)</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individual Iowa licensure is needed by a government body or a client, the public accounting services provided by a CPA firm holding an Iowa permit to practice may be performed in Iowa or for a client with a home office in Iowa by Iowa CPAs or wholly by persons exercising a practice privilege under Iowa Code section </w:t>
      </w:r>
      <w:hyperlink r:id="rId9">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1027.1(4)</w:t>
      </w:r>
      <w:r>
        <w:rPr>
          <w:rFonts w:ascii="Times New Roman" w:hAnsi="Times New Roman"/>
          <w:b w:val="false"/>
          <w:i w:val="false"/>
          <w:color w:val="000000"/>
          <w:sz w:val="22"/>
        </w:rPr>
        <w:t> </w:t>
      </w:r>
      <w:r>
        <w:rPr>
          <w:rFonts w:ascii="Times New Roman" w:hAnsi="Times New Roman"/>
          <w:b w:val="false"/>
          <w:i w:val="false"/>
          <w:color w:val="000000"/>
          <w:sz w:val="22"/>
        </w:rPr>
        <w:t xml:space="preserve">A CPA firm issued a permit to practice by the board is accountable to the board and subject to discipline by the board for the acts of its owners or other agents, pursuant to </w:t>
      </w:r>
      <w:hyperlink r:id="rId10">
        <w:r>
          <w:rPr>
            <w:rStyle w:val="Hyperlink"/>
            <w:rFonts w:ascii="Times New Roman" w:hAnsi="Times New Roman"/>
            <w:b w:val="false"/>
            <w:i w:val="false"/>
            <w:color w:val="000000"/>
            <w:sz w:val="22"/>
          </w:rPr>
          <w:t>481—subrule 1034.2(4)</w:t>
        </w:r>
      </w:hyperlink>
      <w:r>
        <w:rPr>
          <w:rFonts w:ascii="Times New Roman" w:hAnsi="Times New Roman"/>
          <w:b w:val="false"/>
          <w:i w:val="false"/>
          <w:color w:val="000000"/>
          <w:sz w:val="22"/>
        </w:rPr>
        <w:t>, whether or not such persons are individually licensed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481—1027.2</w:t>
      </w:r>
      <w:r>
        <w:rPr>
          <w:rFonts w:ascii="Times New Roman" w:hAnsi="Times New Roman"/>
          <w:b/>
          <w:i w:val="false"/>
          <w:color w:val="000000"/>
          <w:sz w:val="22"/>
        </w:rPr>
        <w:t xml:space="preserve">(542) </w:t>
      </w:r>
      <w:r>
        <w:rPr>
          <w:rFonts w:ascii="Times New Roman" w:hAnsi="Times New Roman"/>
          <w:b/>
          <w:i w:val="false"/>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1027.2(1)</w:t>
      </w:r>
      <w:r>
        <w:rPr>
          <w:rFonts w:ascii="Times New Roman" w:hAnsi="Times New Roman"/>
          <w:b w:val="false"/>
          <w:i w:val="false"/>
          <w:color w:val="000000"/>
          <w:sz w:val="22"/>
        </w:rPr>
        <w:t> </w:t>
      </w:r>
      <w:r>
        <w:rPr>
          <w:rFonts w:ascii="Times New Roman" w:hAnsi="Times New Roman"/>
          <w:b w:val="false"/>
          <w:i w:val="false"/>
          <w:color w:val="000000"/>
          <w:sz w:val="22"/>
        </w:rPr>
        <w:t>All applications are submitted through the board’s online application process. The board will only process fully completed applications accompanied by the proper fee. Each application fee is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1027.2(2)</w:t>
      </w:r>
      <w:r>
        <w:rPr>
          <w:rFonts w:ascii="Times New Roman" w:hAnsi="Times New Roman"/>
          <w:b w:val="false"/>
          <w:i w:val="false"/>
          <w:color w:val="000000"/>
          <w:sz w:val="22"/>
        </w:rPr>
        <w:t> </w:t>
      </w:r>
      <w:r>
        <w:rPr>
          <w:rFonts w:ascii="Times New Roman" w:hAnsi="Times New Roman"/>
          <w:b w:val="false"/>
          <w:i w:val="false"/>
          <w:color w:val="000000"/>
          <w:sz w:val="22"/>
        </w:rPr>
        <w:t>An initial or renewal application for a firm permit to practice may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11">
        <w:r>
          <w:rPr>
            <w:rStyle w:val="Hyperlink"/>
            <w:rFonts w:ascii="Times New Roman" w:hAnsi="Times New Roman"/>
            <w:b w:val="false"/>
            <w:i w:val="false"/>
            <w:color w:val="000000"/>
            <w:sz w:val="22"/>
          </w:rPr>
          <w:t>542.7(3)</w:t>
        </w:r>
      </w:hyperlink>
      <w:r>
        <w:rPr>
          <w:rFonts w:ascii="Times New Roman" w:hAnsi="Times New Roman"/>
          <w:b w:val="false"/>
          <w:i/>
          <w:color w:val="000000"/>
          <w:sz w:val="22"/>
        </w:rPr>
        <w:t>“f”</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Based on the firm’s failure to comply with Iowa Code section </w:t>
      </w:r>
      <w:hyperlink r:id="rId12">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or a failure to sustain the simple majority of ownership obligations of Iowa Code section </w:t>
      </w:r>
      <w:hyperlink r:id="rId13">
        <w:r>
          <w:rPr>
            <w:rStyle w:val="Hyperlink"/>
            <w:rFonts w:ascii="Times New Roman" w:hAnsi="Times New Roman"/>
            <w:b w:val="false"/>
            <w:i w:val="false"/>
            <w:color w:val="000000"/>
            <w:sz w:val="22"/>
          </w:rPr>
          <w:t>542.7(3)</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Based on a regulatory or disciplinary action or, to the extent applicable and subject to the limitations and processes set forth at Iowa Code section </w:t>
      </w:r>
      <w:hyperlink r:id="rId14">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 xml:space="preserve"> and corresponding implementing rules located at </w:t>
      </w:r>
      <w:hyperlink r:id="rId15">
        <w:r>
          <w:rPr>
            <w:rStyle w:val="Hyperlink"/>
            <w:rFonts w:ascii="Times New Roman" w:hAnsi="Times New Roman"/>
            <w:b w:val="false"/>
            <w:i w:val="false"/>
            <w:color w:val="000000"/>
            <w:sz w:val="22"/>
          </w:rPr>
          <w:t>481—Chapter 502</w:t>
        </w:r>
      </w:hyperlink>
      <w:r>
        <w:rPr>
          <w:rFonts w:ascii="Times New Roman" w:hAnsi="Times New Roman"/>
          <w:b w:val="false"/>
          <w:i w:val="false"/>
          <w:color w:val="000000"/>
          <w:sz w:val="22"/>
        </w:rPr>
        <w:t xml:space="preserve">, a criminal conviction described in subrules </w:t>
      </w:r>
      <w:hyperlink r:id="rId16">
        <w:r>
          <w:rPr>
            <w:rStyle w:val="Hyperlink"/>
            <w:rFonts w:ascii="Times New Roman" w:hAnsi="Times New Roman"/>
            <w:b w:val="false"/>
            <w:i w:val="false"/>
            <w:color w:val="000000"/>
            <w:sz w:val="22"/>
          </w:rPr>
          <w:t>1027.3(14)</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1027.3(15)</w:t>
        </w:r>
      </w:hyperlink>
      <w:r>
        <w:rPr>
          <w:rFonts w:ascii="Times New Roman" w:hAnsi="Times New Roman"/>
          <w:b w:val="false"/>
          <w:i w:val="false"/>
          <w:color w:val="000000"/>
          <w:sz w:val="22"/>
        </w:rPr>
        <w:t xml:space="preserve"> against any of the firm’s licensed or unlicensed owners.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481—1027.3</w:t>
      </w:r>
      <w:r>
        <w:rPr>
          <w:rFonts w:ascii="Times New Roman" w:hAnsi="Times New Roman"/>
          <w:b/>
          <w:i w:val="false"/>
          <w:color w:val="000000"/>
          <w:sz w:val="22"/>
        </w:rPr>
        <w:t xml:space="preserve">(542) </w:t>
      </w:r>
      <w:r>
        <w:rPr>
          <w:rFonts w:ascii="Times New Roman" w:hAnsi="Times New Roman"/>
          <w:b/>
          <w:i w:val="false"/>
          <w:color w:val="000000"/>
          <w:sz w:val="22"/>
        </w:rPr>
        <w:t xml:space="preserve">Application contents. </w:t>
      </w:r>
      <w:r>
        <w:rPr>
          <w:rFonts w:ascii="Times New Roman" w:hAnsi="Times New Roman"/>
          <w:b w:val="false"/>
          <w:i w:val="false"/>
          <w:color w:val="000000"/>
          <w:sz w:val="22"/>
        </w:rPr>
        <w:t>Applicants for a firm permit to practice will provide information requested by the board, including: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1027.3(1)</w:t>
      </w:r>
      <w:r>
        <w:rPr>
          <w:rFonts w:ascii="Times New Roman" w:hAnsi="Times New Roman"/>
          <w:b w:val="false"/>
          <w:i w:val="false"/>
          <w:color w:val="000000"/>
          <w:sz w:val="22"/>
        </w:rPr>
        <w:t> </w:t>
      </w:r>
      <w:r>
        <w:rPr>
          <w:rFonts w:ascii="Times New Roman" w:hAnsi="Times New Roman"/>
          <w:b w:val="false"/>
          <w:i w:val="false"/>
          <w:color w:val="000000"/>
          <w:sz w:val="22"/>
        </w:rPr>
        <w:t>The lawful name of the firm.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1027.3(2)</w:t>
      </w:r>
      <w:r>
        <w:rPr>
          <w:rFonts w:ascii="Times New Roman" w:hAnsi="Times New Roman"/>
          <w:b w:val="false"/>
          <w:i w:val="false"/>
          <w:color w:val="000000"/>
          <w:sz w:val="22"/>
        </w:rPr>
        <w:t> </w:t>
      </w:r>
      <w:r>
        <w:rPr>
          <w:rFonts w:ascii="Times New Roman" w:hAnsi="Times New Roman"/>
          <w:b w:val="false"/>
          <w:i w:val="false"/>
          <w:color w:val="000000"/>
          <w:sz w:val="22"/>
        </w:rPr>
        <w:t>The legal form and jurisdiction of the firm’s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1027.3(3)</w:t>
      </w:r>
      <w:r>
        <w:rPr>
          <w:rFonts w:ascii="Times New Roman" w:hAnsi="Times New Roman"/>
          <w:b w:val="false"/>
          <w:i w:val="false"/>
          <w:color w:val="000000"/>
          <w:sz w:val="22"/>
        </w:rPr>
        <w:t> </w:t>
      </w:r>
      <w:r>
        <w:rPr>
          <w:rFonts w:ascii="Times New Roman" w:hAnsi="Times New Roman"/>
          <w:b w:val="false"/>
          <w:i w:val="false"/>
          <w:color w:val="000000"/>
          <w:sz w:val="22"/>
        </w:rPr>
        <w:t>Contact information for the principal place of business of the firm and each Iowa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1027.3(4)</w:t>
      </w:r>
      <w:r>
        <w:rPr>
          <w:rFonts w:ascii="Times New Roman" w:hAnsi="Times New Roman"/>
          <w:b w:val="false"/>
          <w:i w:val="false"/>
          <w:color w:val="000000"/>
          <w:sz w:val="22"/>
        </w:rPr>
        <w:t> </w:t>
      </w:r>
      <w:r>
        <w:rPr>
          <w:rFonts w:ascii="Times New Roman" w:hAnsi="Times New Roman"/>
          <w:b w:val="false"/>
          <w:i w:val="false"/>
          <w:color w:val="000000"/>
          <w:sz w:val="22"/>
        </w:rPr>
        <w:t>All jurisdictions in which the firm is licensed or has applied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1027.3(5)</w:t>
      </w:r>
      <w:r>
        <w:rPr>
          <w:rFonts w:ascii="Times New Roman" w:hAnsi="Times New Roman"/>
          <w:b w:val="false"/>
          <w:i w:val="false"/>
          <w:color w:val="000000"/>
          <w:sz w:val="22"/>
        </w:rPr>
        <w:t> </w:t>
      </w:r>
      <w:r>
        <w:rPr>
          <w:rFonts w:ascii="Times New Roman" w:hAnsi="Times New Roman"/>
          <w:b w:val="false"/>
          <w:i w:val="false"/>
          <w:color w:val="000000"/>
          <w:sz w:val="22"/>
        </w:rPr>
        <w:t>The names, licensure, and contact information for all persons responsible for supervising attest and compilation service or responsible for the proper licensure of the firm.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1027.3(6)</w:t>
      </w:r>
      <w:r>
        <w:rPr>
          <w:rFonts w:ascii="Times New Roman" w:hAnsi="Times New Roman"/>
          <w:b w:val="false"/>
          <w:i w:val="false"/>
          <w:color w:val="000000"/>
          <w:sz w:val="22"/>
        </w:rPr>
        <w:t> </w:t>
      </w:r>
      <w:r>
        <w:rPr>
          <w:rFonts w:ascii="Times New Roman" w:hAnsi="Times New Roman"/>
          <w:b w:val="false"/>
          <w:i w:val="false"/>
          <w:color w:val="000000"/>
          <w:sz w:val="22"/>
        </w:rPr>
        <w:t>The highest level of public accounting services offered by the firm, such as compilation or attest.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1027.3(7)</w:t>
      </w:r>
      <w:r>
        <w:rPr>
          <w:rFonts w:ascii="Times New Roman" w:hAnsi="Times New Roman"/>
          <w:b w:val="false"/>
          <w:i w:val="false"/>
          <w:color w:val="000000"/>
          <w:sz w:val="22"/>
        </w:rPr>
        <w:t> </w:t>
      </w:r>
      <w:r>
        <w:rPr>
          <w:rFonts w:ascii="Times New Roman" w:hAnsi="Times New Roman"/>
          <w:b w:val="false"/>
          <w:i w:val="false"/>
          <w:color w:val="000000"/>
          <w:sz w:val="22"/>
        </w:rPr>
        <w:t>Evidence of satisfactory completion of the last firm peer review,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1027.3(8)</w:t>
      </w:r>
      <w:r>
        <w:rPr>
          <w:rFonts w:ascii="Times New Roman" w:hAnsi="Times New Roman"/>
          <w:b w:val="false"/>
          <w:i w:val="false"/>
          <w:color w:val="000000"/>
          <w:sz w:val="22"/>
        </w:rPr>
        <w:t> </w:t>
      </w:r>
      <w:r>
        <w:rPr>
          <w:rFonts w:ascii="Times New Roman" w:hAnsi="Times New Roman"/>
          <w:b w:val="false"/>
          <w:i w:val="false"/>
          <w:color w:val="000000"/>
          <w:sz w:val="22"/>
        </w:rPr>
        <w:t xml:space="preserve">Sufficient information from which the board can determine that a simple majority of owners hold a CPA certificate under Iowa Code section </w:t>
      </w:r>
      <w:hyperlink r:id="rId18">
        <w:r>
          <w:rPr>
            <w:rStyle w:val="Hyperlink"/>
            <w:rFonts w:ascii="Times New Roman" w:hAnsi="Times New Roman"/>
            <w:b w:val="false"/>
            <w:i w:val="false"/>
            <w:color w:val="000000"/>
            <w:sz w:val="22"/>
          </w:rPr>
          <w:t>542.6</w:t>
        </w:r>
      </w:hyperlink>
      <w:r>
        <w:rPr>
          <w:rFonts w:ascii="Times New Roman" w:hAnsi="Times New Roman"/>
          <w:b w:val="false"/>
          <w:i w:val="false"/>
          <w:color w:val="000000"/>
          <w:sz w:val="22"/>
        </w:rPr>
        <w:t xml:space="preserve"> or </w:t>
      </w:r>
      <w:hyperlink r:id="rId19">
        <w:r>
          <w:rPr>
            <w:rStyle w:val="Hyperlink"/>
            <w:rFonts w:ascii="Times New Roman" w:hAnsi="Times New Roman"/>
            <w:b w:val="false"/>
            <w:i w:val="false"/>
            <w:color w:val="000000"/>
            <w:sz w:val="22"/>
          </w:rPr>
          <w:t>542.19</w:t>
        </w:r>
      </w:hyperlink>
      <w:r>
        <w:rPr>
          <w:rFonts w:ascii="Times New Roman" w:hAnsi="Times New Roman"/>
          <w:b w:val="false"/>
          <w:i w:val="false"/>
          <w:color w:val="000000"/>
          <w:sz w:val="22"/>
        </w:rPr>
        <w:t xml:space="preserve"> or hold a CPA certificate in another state and are eligible to exercise a practice privilege under Iowa Code section </w:t>
      </w:r>
      <w:hyperlink r:id="rId20">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The board reserves the right to request at any time a full list of owners, or a targeted sublist, such as a list of those persons who perform services from an Iowa office or those who perform attest or compilation services in Iowa or for a client with a home office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1027.3(9)</w:t>
      </w:r>
      <w:r>
        <w:rPr>
          <w:rFonts w:ascii="Times New Roman" w:hAnsi="Times New Roman"/>
          <w:b w:val="false"/>
          <w:i w:val="false"/>
          <w:color w:val="000000"/>
          <w:sz w:val="22"/>
        </w:rPr>
        <w:t> </w:t>
      </w:r>
      <w:r>
        <w:rPr>
          <w:rFonts w:ascii="Times New Roman" w:hAnsi="Times New Roman"/>
          <w:b w:val="false"/>
          <w:i w:val="false"/>
          <w:color w:val="000000"/>
          <w:sz w:val="22"/>
        </w:rPr>
        <w:t xml:space="preserve">The affirmation described in </w:t>
      </w:r>
      <w:hyperlink r:id="rId21">
        <w:r>
          <w:rPr>
            <w:rStyle w:val="Hyperlink"/>
            <w:rFonts w:ascii="Times New Roman" w:hAnsi="Times New Roman"/>
            <w:b w:val="false"/>
            <w:i w:val="false"/>
            <w:color w:val="000000"/>
            <w:sz w:val="22"/>
          </w:rPr>
          <w:t>481—paragraph 1026.3(3)</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1027.3(10)</w:t>
      </w:r>
      <w:r>
        <w:rPr>
          <w:rFonts w:ascii="Times New Roman" w:hAnsi="Times New Roman"/>
          <w:b w:val="false"/>
          <w:i w:val="false"/>
          <w:color w:val="000000"/>
          <w:sz w:val="22"/>
        </w:rPr>
        <w:t> </w:t>
      </w:r>
      <w:r>
        <w:rPr>
          <w:rFonts w:ascii="Times New Roman" w:hAnsi="Times New Roman"/>
          <w:b w:val="false"/>
          <w:i w:val="false"/>
          <w:color w:val="000000"/>
          <w:sz w:val="22"/>
        </w:rPr>
        <w:t>Affirmation that all CPAs who are responsible for supervising attest services for the CPA firm or who sign or authorize someone to sign the accountant’s report on behalf of the CPA firm satisfy the experience or competency standards established by nationally recognized professional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1027.3(11)</w:t>
      </w:r>
      <w:r>
        <w:rPr>
          <w:rFonts w:ascii="Times New Roman" w:hAnsi="Times New Roman"/>
          <w:b w:val="false"/>
          <w:i w:val="false"/>
          <w:color w:val="000000"/>
          <w:sz w:val="22"/>
        </w:rPr>
        <w:t> </w:t>
      </w:r>
      <w:r>
        <w:rPr>
          <w:rFonts w:ascii="Times New Roman" w:hAnsi="Times New Roman"/>
          <w:b w:val="false"/>
          <w:i w:val="false"/>
          <w:color w:val="000000"/>
          <w:sz w:val="22"/>
        </w:rPr>
        <w:t>Affirmation that all CPAs or LPAs who are responsible for supervising compilation services or who sign or authorize someone to sign the accountant’s compilation report on behalf of the firm comply with nationally recognized professional standards that are applicable to the compilation services performed in Iowa or for a client with a home office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1027.3(12)</w:t>
      </w:r>
      <w:r>
        <w:rPr>
          <w:rFonts w:ascii="Times New Roman" w:hAnsi="Times New Roman"/>
          <w:b w:val="false"/>
          <w:i w:val="false"/>
          <w:color w:val="000000"/>
          <w:sz w:val="22"/>
        </w:rPr>
        <w:t> </w:t>
      </w:r>
      <w:r>
        <w:rPr>
          <w:rFonts w:ascii="Times New Roman" w:hAnsi="Times New Roman"/>
          <w:b w:val="false"/>
          <w:i w:val="false"/>
          <w:color w:val="000000"/>
          <w:sz w:val="22"/>
        </w:rPr>
        <w:t>Affirmation that all nonlicensee owners are active participants in the firm or affiliated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1027.3(13)</w:t>
      </w:r>
      <w:r>
        <w:rPr>
          <w:rFonts w:ascii="Times New Roman" w:hAnsi="Times New Roman"/>
          <w:b w:val="false"/>
          <w:i w:val="false"/>
          <w:color w:val="000000"/>
          <w:sz w:val="22"/>
        </w:rPr>
        <w:t> </w:t>
      </w:r>
      <w:r>
        <w:rPr>
          <w:rFonts w:ascii="Times New Roman" w:hAnsi="Times New Roman"/>
          <w:b w:val="false"/>
          <w:i w:val="false"/>
          <w:color w:val="000000"/>
          <w:sz w:val="22"/>
        </w:rPr>
        <w:t>Affirmation that the firm and its licensed or unlicensed owners will comply with all applicable Iowa laws and rules, including rules of professional conduct, when practicing in Iowa or for a client with a home office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1027.3(14)</w:t>
      </w:r>
      <w:r>
        <w:rPr>
          <w:rFonts w:ascii="Times New Roman" w:hAnsi="Times New Roman"/>
          <w:b w:val="false"/>
          <w:i w:val="false"/>
          <w:color w:val="000000"/>
          <w:sz w:val="22"/>
        </w:rPr>
        <w:t> </w:t>
      </w:r>
      <w:r>
        <w:rPr>
          <w:rFonts w:ascii="Times New Roman" w:hAnsi="Times New Roman"/>
          <w:b w:val="false"/>
          <w:i w:val="false"/>
          <w:color w:val="000000"/>
          <w:sz w:val="22"/>
        </w:rPr>
        <w:t>Details of any past denial, cancellation, revocation, suspension, refusal to renew, or voluntary surrender of a professional license of any kind, authority to practice, or practice privilege by the board or another state agency in any jurisdiction, a federal agency, or the PCAOB, regarding the firm and the firm’s current owners (e.g., partners, shareholders, or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1027.3(15)</w:t>
      </w:r>
      <w:r>
        <w:rPr>
          <w:rFonts w:ascii="Times New Roman" w:hAnsi="Times New Roman"/>
          <w:b w:val="false"/>
          <w:i w:val="false"/>
          <w:color w:val="000000"/>
          <w:sz w:val="22"/>
        </w:rPr>
        <w:t> </w:t>
      </w:r>
      <w:r>
        <w:rPr>
          <w:rFonts w:ascii="Times New Roman" w:hAnsi="Times New Roman"/>
          <w:b w:val="false"/>
          <w:i w:val="false"/>
          <w:color w:val="000000"/>
          <w:sz w:val="22"/>
        </w:rPr>
        <w:t xml:space="preserve">Details of any past felony conviction or the conviction of any crime, any element of which is dishonesty or fraud, as provided in Iowa Code section </w:t>
      </w:r>
      <w:hyperlink r:id="rId22">
        <w:r>
          <w:rPr>
            <w:rStyle w:val="Hyperlink"/>
            <w:rFonts w:ascii="Times New Roman" w:hAnsi="Times New Roman"/>
            <w:b w:val="false"/>
            <w:i w:val="false"/>
            <w:color w:val="000000"/>
            <w:sz w:val="22"/>
          </w:rPr>
          <w:t>542.5(2)</w:t>
        </w:r>
      </w:hyperlink>
      <w:r>
        <w:rPr>
          <w:rFonts w:ascii="Times New Roman" w:hAnsi="Times New Roman"/>
          <w:b w:val="false"/>
          <w:i w:val="false"/>
          <w:color w:val="000000"/>
          <w:sz w:val="22"/>
        </w:rPr>
        <w:t>, under the laws of any state or the United States, regarding the firm and the firm’s current owners (e.g., partners, shareholders, or members).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481—1027.4</w:t>
      </w:r>
      <w:r>
        <w:rPr>
          <w:rFonts w:ascii="Times New Roman" w:hAnsi="Times New Roman"/>
          <w:b/>
          <w:i w:val="false"/>
          <w:color w:val="000000"/>
          <w:sz w:val="22"/>
        </w:rPr>
        <w:t xml:space="preserve">(542) </w:t>
      </w:r>
      <w:r>
        <w:rPr>
          <w:rFonts w:ascii="Times New Roman" w:hAnsi="Times New Roman"/>
          <w:b/>
          <w:i w:val="false"/>
          <w:color w:val="000000"/>
          <w:sz w:val="22"/>
        </w:rPr>
        <w:t xml:space="preserve">Renewal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1027.4(1)</w:t>
      </w:r>
      <w:r>
        <w:rPr>
          <w:rFonts w:ascii="Times New Roman" w:hAnsi="Times New Roman"/>
          <w:b w:val="false"/>
          <w:i w:val="false"/>
          <w:color w:val="000000"/>
          <w:sz w:val="22"/>
        </w:rPr>
        <w:t> </w:t>
      </w:r>
      <w:r>
        <w:rPr>
          <w:rFonts w:ascii="Times New Roman" w:hAnsi="Times New Roman"/>
          <w:b w:val="false"/>
          <w:i w:val="false"/>
          <w:color w:val="000000"/>
          <w:sz w:val="22"/>
        </w:rPr>
        <w:t>The permit holder will submit an electronic online renewal by the June 30 deadline each year. Applications are deemed filed on the date of electronic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permit holder will list on the renewal application all states in which the applicant has applied for or holds a permit as a certified public accounting firm and list any past denial, revocation, suspension, refusal to renew or voluntary surrender to avoid disciplinary action of a permit to practice or practice privilege. Renewal applications include such additional information as the board needs, including all of the information described in rule </w:t>
      </w:r>
      <w:hyperlink r:id="rId23">
        <w:r>
          <w:rPr>
            <w:rStyle w:val="Hyperlink"/>
            <w:rFonts w:ascii="Times New Roman" w:hAnsi="Times New Roman"/>
            <w:b w:val="false"/>
            <w:i w:val="false"/>
            <w:color w:val="000000"/>
            <w:sz w:val="22"/>
          </w:rPr>
          <w:t>481—1027.3</w:t>
        </w:r>
      </w:hyperlink>
      <w:r>
        <w:rPr>
          <w:rFonts w:ascii="Times New Roman" w:hAnsi="Times New Roman"/>
          <w:b w:val="false"/>
          <w:i w:val="false"/>
          <w:color w:val="000000"/>
          <w:sz w:val="22"/>
        </w:rPr>
        <w:t>(542).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1027.4(3)</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meaning of Iowa Code chapters </w:t>
      </w:r>
      <w:hyperlink r:id="rId2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a timely and sufficient renewal application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Received by the board in electronic form on or before June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as accurate through the online renewal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Fully completed and accompanied with the proper fee. The fee will be deemed improper if, for instance, the amount is incorrect, the fee was not included with the application, the credit card number provided by the applicant is incorrect, the date of expiration of a credit card is omitted or incorrect, the attempted credit card transaction is rejected, or the applicant’s check is returned for insufficient funds or a closed account.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481—1027.5</w:t>
      </w:r>
      <w:r>
        <w:rPr>
          <w:rFonts w:ascii="Times New Roman" w:hAnsi="Times New Roman"/>
          <w:b/>
          <w:i w:val="false"/>
          <w:color w:val="000000"/>
          <w:sz w:val="22"/>
        </w:rPr>
        <w:t xml:space="preserve">(542) </w:t>
      </w:r>
      <w:r>
        <w:rPr>
          <w:rFonts w:ascii="Times New Roman" w:hAnsi="Times New Roman"/>
          <w:b/>
          <w:i w:val="false"/>
          <w:color w:val="000000"/>
          <w:sz w:val="22"/>
        </w:rPr>
        <w:t xml:space="preserve">Failure to renew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1027.5(1)</w:t>
      </w:r>
      <w:r>
        <w:rPr>
          <w:rFonts w:ascii="Times New Roman" w:hAnsi="Times New Roman"/>
          <w:b w:val="false"/>
          <w:i w:val="false"/>
          <w:color w:val="000000"/>
          <w:sz w:val="22"/>
        </w:rPr>
        <w:t> </w:t>
      </w:r>
      <w:r>
        <w:rPr>
          <w:rFonts w:ascii="Times New Roman" w:hAnsi="Times New Roman"/>
          <w:b w:val="false"/>
          <w:i w:val="false"/>
          <w:color w:val="000000"/>
          <w:sz w:val="22"/>
        </w:rPr>
        <w:t xml:space="preserve">A firm that fails to renew the permit by the expiration date, but does so within 30 days following the expiration date, will be assessed a penalty as provided in rule </w:t>
      </w:r>
      <w:hyperlink r:id="rId27">
        <w:r>
          <w:rPr>
            <w:rStyle w:val="Hyperlink"/>
            <w:rFonts w:ascii="Times New Roman" w:hAnsi="Times New Roman"/>
            <w:b w:val="false"/>
            <w:i w:val="false"/>
            <w:color w:val="000000"/>
            <w:sz w:val="22"/>
          </w:rPr>
          <w:t>481—1032.1</w:t>
        </w:r>
      </w:hyperlink>
      <w:r>
        <w:rPr>
          <w:rFonts w:ascii="Times New Roman" w:hAnsi="Times New Roman"/>
          <w:b w:val="false"/>
          <w:i w:val="false"/>
          <w:color w:val="000000"/>
          <w:sz w:val="22"/>
        </w:rPr>
        <w:t>(542).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1027.5(2)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firm fails to renew the permit within the 30-day grace period outlined in rule </w:t>
      </w:r>
      <w:hyperlink r:id="rId28">
        <w:r>
          <w:rPr>
            <w:rStyle w:val="Hyperlink"/>
            <w:rFonts w:ascii="Times New Roman" w:hAnsi="Times New Roman"/>
            <w:b w:val="false"/>
            <w:i w:val="false"/>
            <w:color w:val="000000"/>
            <w:sz w:val="22"/>
          </w:rPr>
          <w:t>481—1027.6</w:t>
        </w:r>
      </w:hyperlink>
      <w:r>
        <w:rPr>
          <w:rFonts w:ascii="Times New Roman" w:hAnsi="Times New Roman"/>
          <w:b w:val="false"/>
          <w:i w:val="false"/>
          <w:color w:val="000000"/>
          <w:sz w:val="22"/>
        </w:rPr>
        <w:t xml:space="preserve">(542), the permit will lapse and the firm will need to reinstate in accordance with rule </w:t>
      </w:r>
      <w:hyperlink r:id="rId29">
        <w:r>
          <w:rPr>
            <w:rStyle w:val="Hyperlink"/>
            <w:rFonts w:ascii="Times New Roman" w:hAnsi="Times New Roman"/>
            <w:b w:val="false"/>
            <w:i w:val="false"/>
            <w:color w:val="000000"/>
            <w:sz w:val="22"/>
          </w:rPr>
          <w:t>481—1027.7</w:t>
        </w:r>
      </w:hyperlink>
      <w:r>
        <w:rPr>
          <w:rFonts w:ascii="Times New Roman" w:hAnsi="Times New Roman"/>
          <w:b w:val="false"/>
          <w:i w:val="false"/>
          <w:color w:val="000000"/>
          <w:sz w:val="22"/>
        </w:rPr>
        <w:t>(542). The firm is not authorized to practice during the period of time that the permit is lapsed, including the 30-day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reinstate the permit upon payment of the proper renewal fee and a penalty as provided in rule </w:t>
      </w:r>
      <w:hyperlink r:id="rId30">
        <w:r>
          <w:rPr>
            <w:rStyle w:val="Hyperlink"/>
            <w:rFonts w:ascii="Times New Roman" w:hAnsi="Times New Roman"/>
            <w:b w:val="false"/>
            <w:i w:val="false"/>
            <w:color w:val="000000"/>
            <w:sz w:val="22"/>
          </w:rPr>
          <w:t>481—1032.1</w:t>
        </w:r>
      </w:hyperlink>
      <w:r>
        <w:rPr>
          <w:rFonts w:ascii="Times New Roman" w:hAnsi="Times New Roman"/>
          <w:b w:val="false"/>
          <w:i w:val="false"/>
          <w:color w:val="000000"/>
          <w:sz w:val="22"/>
        </w:rPr>
        <w:t>(542). A written statement outlining the firm’s professional activities during the period of lapsed licensure, including a list of Iowa clients and the services performed, is also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1027.5(4)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find probable cause to file charges for unlicensed practice if the firm engaged in any activity that obligates licensure pursuant to subrule </w:t>
      </w:r>
      <w:hyperlink r:id="rId31">
        <w:r>
          <w:rPr>
            <w:rStyle w:val="Hyperlink"/>
            <w:rFonts w:ascii="Times New Roman" w:hAnsi="Times New Roman"/>
            <w:b w:val="false"/>
            <w:i w:val="false"/>
            <w:color w:val="000000"/>
            <w:sz w:val="22"/>
          </w:rPr>
          <w:t>1027.1(1)</w:t>
        </w:r>
      </w:hyperlink>
      <w:r>
        <w:rPr>
          <w:rFonts w:ascii="Times New Roman" w:hAnsi="Times New Roman"/>
          <w:b w:val="false"/>
          <w:i w:val="false"/>
          <w:color w:val="000000"/>
          <w:sz w:val="22"/>
        </w:rPr>
        <w:t xml:space="preserve"> during the period of lapsed licensure. In addition to the disciplinary sanctions described in rule </w:t>
      </w:r>
      <w:hyperlink r:id="rId32">
        <w:r>
          <w:rPr>
            <w:rStyle w:val="Hyperlink"/>
            <w:rFonts w:ascii="Times New Roman" w:hAnsi="Times New Roman"/>
            <w:b w:val="false"/>
            <w:i w:val="false"/>
            <w:color w:val="000000"/>
            <w:sz w:val="22"/>
          </w:rPr>
          <w:t>481—1036.3</w:t>
        </w:r>
      </w:hyperlink>
      <w:r>
        <w:rPr>
          <w:rFonts w:ascii="Times New Roman" w:hAnsi="Times New Roman"/>
          <w:b w:val="false"/>
          <w:i w:val="false"/>
          <w:color w:val="000000"/>
          <w:sz w:val="22"/>
        </w:rPr>
        <w:t xml:space="preserve">(272C,542), firms found to have practiced public accounting in violation of subrule </w:t>
      </w:r>
      <w:hyperlink r:id="rId33">
        <w:r>
          <w:rPr>
            <w:rStyle w:val="Hyperlink"/>
            <w:rFonts w:ascii="Times New Roman" w:hAnsi="Times New Roman"/>
            <w:b w:val="false"/>
            <w:i w:val="false"/>
            <w:color w:val="000000"/>
            <w:sz w:val="22"/>
          </w:rPr>
          <w:t>1027.1(1)</w:t>
        </w:r>
      </w:hyperlink>
      <w:r>
        <w:rPr>
          <w:rFonts w:ascii="Times New Roman" w:hAnsi="Times New Roman"/>
          <w:b w:val="false"/>
          <w:i w:val="false"/>
          <w:color w:val="000000"/>
          <w:sz w:val="22"/>
        </w:rPr>
        <w:t xml:space="preserve"> on a lapsed license will notify clients upon such terms as the board orders.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481—1027.6</w:t>
      </w:r>
      <w:r>
        <w:rPr>
          <w:rFonts w:ascii="Times New Roman" w:hAnsi="Times New Roman"/>
          <w:b/>
          <w:i w:val="false"/>
          <w:color w:val="000000"/>
          <w:sz w:val="22"/>
        </w:rPr>
        <w:t xml:space="preserve">(542) </w:t>
      </w:r>
      <w:r>
        <w:rPr>
          <w:rFonts w:ascii="Times New Roman" w:hAnsi="Times New Roman"/>
          <w:b/>
          <w:i w:val="false"/>
          <w:color w:val="000000"/>
          <w:sz w:val="22"/>
        </w:rPr>
        <w:t xml:space="preserve">Notice to the board. </w:t>
      </w:r>
      <w:r>
        <w:rPr>
          <w:rFonts w:ascii="Times New Roman" w:hAnsi="Times New Roman"/>
          <w:b w:val="false"/>
          <w:i w:val="false"/>
          <w:color w:val="000000"/>
          <w:sz w:val="22"/>
        </w:rPr>
        <w:t xml:space="preserve">A holder of or applicant for a permit shall notify the board in writing within 30 days of an occurrence described in Iowa Code section </w:t>
      </w:r>
      <w:hyperlink r:id="rId34">
        <w:r>
          <w:rPr>
            <w:rStyle w:val="Hyperlink"/>
            <w:rFonts w:ascii="Times New Roman" w:hAnsi="Times New Roman"/>
            <w:b w:val="false"/>
            <w:i w:val="false"/>
            <w:color w:val="000000"/>
            <w:sz w:val="22"/>
          </w:rPr>
          <w:t>542.7(6)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481—1027.7</w:t>
      </w:r>
      <w:r>
        <w:rPr>
          <w:rFonts w:ascii="Times New Roman" w:hAnsi="Times New Roman"/>
          <w:b/>
          <w:i w:val="false"/>
          <w:color w:val="000000"/>
          <w:sz w:val="22"/>
        </w:rPr>
        <w:t xml:space="preserve">(542) </w:t>
      </w:r>
      <w:r>
        <w:rPr>
          <w:rFonts w:ascii="Times New Roman" w:hAnsi="Times New Roman"/>
          <w:b/>
          <w:i w:val="false"/>
          <w:color w:val="000000"/>
          <w:sz w:val="22"/>
        </w:rPr>
        <w:t xml:space="preserve">Noncompliance. </w:t>
      </w:r>
      <w:r>
        <w:rPr>
          <w:rFonts w:ascii="Times New Roman" w:hAnsi="Times New Roman"/>
          <w:b w:val="false"/>
          <w:i w:val="false"/>
          <w:color w:val="000000"/>
          <w:sz w:val="22"/>
        </w:rPr>
        <w:t xml:space="preserve">The board may grant a reasonable period of time, usually 90 days, for a firm to take such corrective action pursuant to Iowa Code section </w:t>
      </w:r>
      <w:hyperlink r:id="rId35">
        <w:r>
          <w:rPr>
            <w:rStyle w:val="Hyperlink"/>
            <w:rFonts w:ascii="Times New Roman" w:hAnsi="Times New Roman"/>
            <w:b w:val="false"/>
            <w:i w:val="false"/>
            <w:color w:val="000000"/>
            <w:sz w:val="22"/>
          </w:rPr>
          <w:t>542.7(7)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3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and section </w:t>
      </w:r>
      <w:hyperlink r:id="rId39">
        <w:r>
          <w:rPr>
            <w:rStyle w:val="Hyperlink"/>
            <w:rFonts w:ascii="Times New Roman" w:hAnsi="Times New Roman"/>
            <w:b w:val="false"/>
            <w:i w:val="false"/>
            <w:color w:val="000000"/>
            <w:sz w:val="22"/>
          </w:rPr>
          <w:t>10A.506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1/19/05, Notice 12/8/04—published 2/16/05, effective 3/23/05]</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9482B</w:t>
      </w:r>
      <w:r>
        <w:rPr>
          <w:rFonts w:ascii="Times New Roman" w:hAnsi="Times New Roman"/>
          <w:b w:val="false"/>
          <w:i w:val="false"/>
          <w:color w:val="000000"/>
          <w:sz w:val="21"/>
        </w:rPr>
        <w:t xml:space="preserve"> (Notice ARC 9370B, IAB 2/23/11)</w:t>
      </w:r>
      <w:r>
        <w:rPr>
          <w:rFonts w:ascii="Times New Roman" w:hAnsi="Times New Roman"/>
          <w:b w:val="false"/>
          <w:i w:val="false"/>
          <w:color w:val="000000"/>
          <w:sz w:val="21"/>
        </w:rPr>
        <w:t>, IAB 5/4/11, effective 6/8/11]</w:t>
      </w:r>
    </w:p>
    <w:p>
      <w:pPr>
        <w:spacing w:before="0" w:after="0"/>
        <w:ind w:left="120"/>
        <w:jc w:val="center"/>
      </w:pPr>
      <w:r>
        <w:rPr>
          <w:rFonts w:ascii="Times New Roman" w:hAnsi="Times New Roman"/>
          <w:b w:val="false"/>
          <w:i w:val="false"/>
          <w:color w:val="000000"/>
          <w:sz w:val="21"/>
        </w:rPr>
        <w:t>[Filed ARC 0413C</w:t>
      </w:r>
      <w:r>
        <w:rPr>
          <w:rFonts w:ascii="Times New Roman" w:hAnsi="Times New Roman"/>
          <w:b w:val="false"/>
          <w:i w:val="false"/>
          <w:color w:val="000000"/>
          <w:sz w:val="21"/>
        </w:rPr>
        <w:t xml:space="preserve"> (Notice ARC 0254C, IAB 8/8/12)</w:t>
      </w:r>
      <w:r>
        <w:rPr>
          <w:rFonts w:ascii="Times New Roman" w:hAnsi="Times New Roman"/>
          <w:b w:val="false"/>
          <w:i w:val="false"/>
          <w:color w:val="000000"/>
          <w:sz w:val="21"/>
        </w:rPr>
        <w:t>, IAB 10/31/12, effective 12/5/12]</w:t>
      </w:r>
    </w:p>
    <w:p>
      <w:pPr>
        <w:spacing w:before="0" w:after="0"/>
        <w:ind w:left="120"/>
        <w:jc w:val="center"/>
      </w:pPr>
      <w:r>
        <w:rPr>
          <w:rFonts w:ascii="Times New Roman" w:hAnsi="Times New Roman"/>
          <w:b w:val="false"/>
          <w:i w:val="false"/>
          <w:color w:val="000000"/>
          <w:sz w:val="21"/>
        </w:rPr>
        <w:t>[Filed ARC 2152C</w:t>
      </w:r>
      <w:r>
        <w:rPr>
          <w:rFonts w:ascii="Times New Roman" w:hAnsi="Times New Roman"/>
          <w:b w:val="false"/>
          <w:i w:val="false"/>
          <w:color w:val="000000"/>
          <w:sz w:val="21"/>
        </w:rPr>
        <w:t xml:space="preserve"> (Notice ARC 2058C, IAB 7/8/15)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ARC 3422C</w:t>
      </w:r>
      <w:r>
        <w:rPr>
          <w:rFonts w:ascii="Times New Roman" w:hAnsi="Times New Roman"/>
          <w:b w:val="false"/>
          <w:i w:val="false"/>
          <w:color w:val="000000"/>
          <w:sz w:val="21"/>
        </w:rPr>
        <w:t xml:space="preserve"> (Notice ARC 3224C, IAB 8/2/17)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4243C</w:t>
      </w:r>
      <w:r>
        <w:rPr>
          <w:rFonts w:ascii="Times New Roman" w:hAnsi="Times New Roman"/>
          <w:b w:val="false"/>
          <w:i w:val="false"/>
          <w:color w:val="000000"/>
          <w:sz w:val="21"/>
        </w:rPr>
        <w:t xml:space="preserve"> (Notice ARC 3988C, IAB 9/12/18)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5562C</w:t>
      </w:r>
      <w:r>
        <w:rPr>
          <w:rFonts w:ascii="Times New Roman" w:hAnsi="Times New Roman"/>
          <w:b w:val="false"/>
          <w:i w:val="false"/>
          <w:color w:val="000000"/>
          <w:sz w:val="21"/>
        </w:rPr>
        <w:t xml:space="preserve"> (Notice ARC 5357C,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7683C</w:t>
      </w:r>
      <w:r>
        <w:rPr>
          <w:rFonts w:ascii="Times New Roman" w:hAnsi="Times New Roman"/>
          <w:b w:val="false"/>
          <w:i w:val="false"/>
          <w:color w:val="000000"/>
          <w:sz w:val="21"/>
        </w:rPr>
        <w:t xml:space="preserve"> (Notice ARC 7390C,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6/10/26]</w:t>
      </w:r>
    </w:p>
    <w:sectPr>
      <w:footerReference r:id="rId4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1040.pdf" Type="http://schemas.openxmlformats.org/officeDocument/2006/relationships/hyperlink" Id="rId5"/>
    <Relationship TargetMode="External" Target="https://www.legis.iowa.gov/docs/ico/chapter/542.7.pdf" Type="http://schemas.openxmlformats.org/officeDocument/2006/relationships/hyperlink" Id="rId6"/>
    <Relationship TargetMode="External" Target="https://www.legis.iowa.gov/docs/iac/rule/481.1027.1.pdf" Type="http://schemas.openxmlformats.org/officeDocument/2006/relationships/hyperlink" Id="rId7"/>
    <Relationship TargetMode="External" Target="https://www.legis.iowa.gov/docs/ico/chapter/542.7.pdf" Type="http://schemas.openxmlformats.org/officeDocument/2006/relationships/hyperlink" Id="rId8"/>
    <Relationship TargetMode="External" Target="https://www.legis.iowa.gov/docs/ico/chapter/542.20.pdf" Type="http://schemas.openxmlformats.org/officeDocument/2006/relationships/hyperlink" Id="rId9"/>
    <Relationship TargetMode="External" Target="https://www.legis.iowa.gov/docs/iac/rule/481.1034.2.pdf" Type="http://schemas.openxmlformats.org/officeDocument/2006/relationships/hyperlink" Id="rId10"/>
    <Relationship TargetMode="External" Target="https://www.legis.iowa.gov/docs/ico/chapter/542.7.pdf" Type="http://schemas.openxmlformats.org/officeDocument/2006/relationships/hyperlink" Id="rId11"/>
    <Relationship TargetMode="External" Target="https://www.legis.iowa.gov/docs/ico/chapter/542.7.pdf" Type="http://schemas.openxmlformats.org/officeDocument/2006/relationships/hyperlink" Id="rId12"/>
    <Relationship TargetMode="External" Target="https://www.legis.iowa.gov/docs/ico/chapter/542.7.pdf" Type="http://schemas.openxmlformats.org/officeDocument/2006/relationships/hyperlink" Id="rId13"/>
    <Relationship TargetMode="External" Target="https://www.legis.iowa.gov/docs/ico/chapter/272C.15.pdf" Type="http://schemas.openxmlformats.org/officeDocument/2006/relationships/hyperlink" Id="rId14"/>
    <Relationship TargetMode="External" Target="https://www.legis.iowa.gov/docs/iac/chapter/481.502.pdf" Type="http://schemas.openxmlformats.org/officeDocument/2006/relationships/hyperlink" Id="rId15"/>
    <Relationship TargetMode="External" Target="https://www.legis.iowa.gov/docs/iac/rule/481.1027.3.pdf" Type="http://schemas.openxmlformats.org/officeDocument/2006/relationships/hyperlink" Id="rId16"/>
    <Relationship TargetMode="External" Target="https://www.legis.iowa.gov/docs/iac/rule/481.1027.3.pdf" Type="http://schemas.openxmlformats.org/officeDocument/2006/relationships/hyperlink" Id="rId17"/>
    <Relationship TargetMode="External" Target="https://www.legis.iowa.gov/docs/ico/chapter/542.6.pdf" Type="http://schemas.openxmlformats.org/officeDocument/2006/relationships/hyperlink" Id="rId18"/>
    <Relationship TargetMode="External" Target="https://www.legis.iowa.gov/docs/ico/chapter/542.19.pdf" Type="http://schemas.openxmlformats.org/officeDocument/2006/relationships/hyperlink" Id="rId19"/>
    <Relationship TargetMode="External" Target="https://www.legis.iowa.gov/docs/ico/chapter/542.20.pdf" Type="http://schemas.openxmlformats.org/officeDocument/2006/relationships/hyperlink" Id="rId20"/>
    <Relationship TargetMode="External" Target="https://www.legis.iowa.gov/docs/iac/rule/481.1026.3.pdf" Type="http://schemas.openxmlformats.org/officeDocument/2006/relationships/hyperlink" Id="rId21"/>
    <Relationship TargetMode="External" Target="https://www.legis.iowa.gov/docs/ico/chapter/542.5.pdf" Type="http://schemas.openxmlformats.org/officeDocument/2006/relationships/hyperlink" Id="rId22"/>
    <Relationship TargetMode="External" Target="https://www.legis.iowa.gov/docs/iac/rule/481.1027.3.pdf" Type="http://schemas.openxmlformats.org/officeDocument/2006/relationships/hyperlink" Id="rId23"/>
    <Relationship TargetMode="External" Target="https://www.legis.iowa.gov/docs/ico/chapter/17A.pdf" Type="http://schemas.openxmlformats.org/officeDocument/2006/relationships/hyperlink" Id="rId24"/>
    <Relationship TargetMode="External" Target="https://www.legis.iowa.gov/docs/ico/chapter/272C.pdf" Type="http://schemas.openxmlformats.org/officeDocument/2006/relationships/hyperlink" Id="rId25"/>
    <Relationship TargetMode="External" Target="https://www.legis.iowa.gov/docs/ico/chapter/542.pdf" Type="http://schemas.openxmlformats.org/officeDocument/2006/relationships/hyperlink" Id="rId26"/>
    <Relationship TargetMode="External" Target="https://www.legis.iowa.gov/docs/iac/rule/481.1032.1.pdf" Type="http://schemas.openxmlformats.org/officeDocument/2006/relationships/hyperlink" Id="rId27"/>
    <Relationship TargetMode="External" Target="https://www.legis.iowa.gov/docs/iac/rule/481.1027.6.pdf" Type="http://schemas.openxmlformats.org/officeDocument/2006/relationships/hyperlink" Id="rId28"/>
    <Relationship TargetMode="External" Target="https://www.legis.iowa.gov/docs/iac/rule/481.1027.7.pdf" Type="http://schemas.openxmlformats.org/officeDocument/2006/relationships/hyperlink" Id="rId29"/>
    <Relationship TargetMode="External" Target="https://www.legis.iowa.gov/docs/iac/rule/481.1032.1.pdf" Type="http://schemas.openxmlformats.org/officeDocument/2006/relationships/hyperlink" Id="rId30"/>
    <Relationship TargetMode="External" Target="https://www.legis.iowa.gov/docs/iac/rule/481.1027.1.pdf" Type="http://schemas.openxmlformats.org/officeDocument/2006/relationships/hyperlink" Id="rId31"/>
    <Relationship TargetMode="External" Target="https://www.legis.iowa.gov/docs/iac/rule/481.1036.3.pdf" Type="http://schemas.openxmlformats.org/officeDocument/2006/relationships/hyperlink" Id="rId32"/>
    <Relationship TargetMode="External" Target="https://www.legis.iowa.gov/docs/iac/rule/481.1027.1.pdf" Type="http://schemas.openxmlformats.org/officeDocument/2006/relationships/hyperlink" Id="rId33"/>
    <Relationship TargetMode="External" Target="https://www.legis.iowa.gov/docs/ico/chapter/542.7.pdf" Type="http://schemas.openxmlformats.org/officeDocument/2006/relationships/hyperlink" Id="rId34"/>
    <Relationship TargetMode="External" Target="https://www.legis.iowa.gov/docs/ico/chapter/542.7.pdf" Type="http://schemas.openxmlformats.org/officeDocument/2006/relationships/hyperlink" Id="rId35"/>
    <Relationship TargetMode="External" Target="https://www.legis.iowa.gov/docs/ico/chapter/17A.pdf" Type="http://schemas.openxmlformats.org/officeDocument/2006/relationships/hyperlink" Id="rId36"/>
    <Relationship TargetMode="External" Target="https://www.legis.iowa.gov/docs/ico/chapter/272C.pdf" Type="http://schemas.openxmlformats.org/officeDocument/2006/relationships/hyperlink" Id="rId37"/>
    <Relationship TargetMode="External" Target="https://www.legis.iowa.gov/docs/ico/chapter/542.pdf" Type="http://schemas.openxmlformats.org/officeDocument/2006/relationships/hyperlink" Id="rId38"/>
    <Relationship TargetMode="External" Target="https://www.legis.iowa.gov/docs/ico/chapter/10A.506.pdf" Type="http://schemas.openxmlformats.org/officeDocument/2006/relationships/hyperlink" Id="rId39"/>
    <Relationship Target="footer.xml" Type="http://schemas.openxmlformats.org/officeDocument/2006/relationships/footer" Id="rId4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