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1023</w:t>
      </w:r>
    </w:p>
    <w:p>
      <w:pPr>
        <w:spacing w:before="0" w:after="0"/>
        <w:ind w:left="120"/>
        <w:jc w:val="center"/>
      </w:pPr>
      <w:r>
        <w:rPr>
          <w:rFonts w:ascii="Times New Roman" w:hAnsi="Times New Roman"/>
          <w:b w:val="false"/>
          <w:i w:val="false"/>
          <w:color w:val="000000"/>
          <w:sz w:val="21"/>
        </w:rPr>
        <w:t>CERTIFICATION OF CPAs</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6/10/26, see Accountancy Examining Board[193A]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481—1023.1</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certificate as a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1023.1(1)</w:t>
      </w:r>
      <w:r>
        <w:rPr>
          <w:rFonts w:ascii="Times New Roman" w:hAnsi="Times New Roman"/>
          <w:b w:val="false"/>
          <w:i w:val="false"/>
          <w:color w:val="000000"/>
          <w:sz w:val="22"/>
        </w:rPr>
        <w:t> </w:t>
      </w:r>
      <w:r>
        <w:rPr>
          <w:rFonts w:ascii="Times New Roman" w:hAnsi="Times New Roman"/>
          <w:b w:val="false"/>
          <w:i w:val="false"/>
          <w:color w:val="000000"/>
          <w:sz w:val="22"/>
        </w:rPr>
        <w:t xml:space="preserve"> A person who meets the qualifications of Iowa Code section </w:t>
      </w:r>
      <w:hyperlink r:id="rId5">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 xml:space="preserve"> and this chapter and applies pursuant to Iowa Code section </w:t>
      </w:r>
      <w:hyperlink r:id="rId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may be granted a certificate as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denied if the applicant is in violation of any of the requirements of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prior enforcement proceedings under </w:t>
      </w:r>
      <w:hyperlink r:id="rId8">
        <w:r>
          <w:rPr>
            <w:rStyle w:val="Hyperlink"/>
            <w:rFonts w:ascii="Times New Roman" w:hAnsi="Times New Roman"/>
            <w:b w:val="false"/>
            <w:i w:val="false"/>
            <w:color w:val="000000"/>
            <w:sz w:val="22"/>
          </w:rPr>
          <w:t>481—Chapter 1037</w:t>
        </w:r>
      </w:hyperlink>
      <w:r>
        <w:rPr>
          <w:rFonts w:ascii="Times New Roman" w:hAnsi="Times New Roman"/>
          <w:b w:val="false"/>
          <w:i w:val="false"/>
          <w:color w:val="000000"/>
          <w:sz w:val="22"/>
        </w:rPr>
        <w:t xml:space="preserve">, or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481—1023.2</w:t>
      </w:r>
      <w:r>
        <w:rPr>
          <w:rFonts w:ascii="Times New Roman" w:hAnsi="Times New Roman"/>
          <w:b/>
          <w:i w:val="false"/>
          <w:color w:val="000000"/>
          <w:sz w:val="22"/>
        </w:rPr>
        <w:t xml:space="preserve">(542) </w:t>
      </w:r>
      <w:r>
        <w:rPr>
          <w:rFonts w:ascii="Times New Roman" w:hAnsi="Times New Roman"/>
          <w:b/>
          <w:i w:val="false"/>
          <w:color w:val="000000"/>
          <w:sz w:val="22"/>
        </w:rPr>
        <w:t xml:space="preserve">Colleges or universities recognized by the board.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542.5(7)</w:t>
        </w:r>
      </w:hyperlink>
      <w:r>
        <w:rPr>
          <w:rFonts w:ascii="Times New Roman" w:hAnsi="Times New Roman"/>
          <w:b w:val="false"/>
          <w:i w:val="false"/>
          <w:color w:val="000000"/>
          <w:sz w:val="22"/>
        </w:rPr>
        <w:t>, the board recognizes educational institutions accredited by the Association to Advance Collegiate Schools of Business and the regional accrediting bodies listed in the Accredited Institutions of Postsecondary Education as published on January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481—1023.3</w:t>
      </w:r>
      <w:r>
        <w:rPr>
          <w:rFonts w:ascii="Times New Roman" w:hAnsi="Times New Roman"/>
          <w:b/>
          <w:i w:val="false"/>
          <w:color w:val="000000"/>
          <w:sz w:val="22"/>
        </w:rPr>
        <w:t xml:space="preserve">(542) </w:t>
      </w:r>
      <w:r>
        <w:rPr>
          <w:rFonts w:ascii="Times New Roman" w:hAnsi="Times New Roman"/>
          <w:b/>
          <w:i w:val="false"/>
          <w:color w:val="000000"/>
          <w:sz w:val="22"/>
        </w:rPr>
        <w:t xml:space="preserve">Accounting concentration.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1023.3(1)</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will be deemed to have met the educational requirement if, as part of the 150 semester hours of education as outlined in Iowa Code section </w:t>
      </w:r>
      <w:hyperlink r:id="rId12">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 the candidate has met one of the following four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Earned a graduate degree with a concentration in accounting from a program that is accredited in accounting by an accrediting agency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Earned a graduate degree in business from a program that is accredited in business by an accrediting agency recognized by the board and completed at least 24 semester hours in accounting, including courses covering the subjects of financial accounting, auditing, taxation, and management accounting. Such accounting hours exclude elementary accounting or principles of accounting, internships or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Earned a baccalaureate degree in business or accounting from a program that is accredited in business by an accrediting agency recognized by the board and completed at least 24 semester hours in accounting courses covering the subjects of financial accounting, auditing, taxation, and management accounting. Such accounting hours exclude elementary accounting or principles of accounting, internships or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Earned a baccalaureate or higher degree and completed the following hours from an accredited institution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24 semester hours in accounting courses above elementary accounting or principles of accounting covering the subjects of financial accounting, auditing, taxation, and management accounting, not including internships or life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24 additional semester hours in business-related courses, not including internships or life experience. Elementary accounting hours that do not qualify under subparagraph </w:t>
      </w:r>
      <w:hyperlink r:id="rId13">
        <w:r>
          <w:rPr>
            <w:rStyle w:val="Hyperlink"/>
            <w:rFonts w:ascii="Times New Roman" w:hAnsi="Times New Roman"/>
            <w:b w:val="false"/>
            <w:i w:val="false"/>
            <w:color w:val="000000"/>
            <w:sz w:val="22"/>
          </w:rPr>
          <w:t>1023.3(1)</w:t>
        </w:r>
      </w:hyperlink>
      <w:r>
        <w:rPr>
          <w:rFonts w:ascii="Times New Roman" w:hAnsi="Times New Roman"/>
          <w:b w:val="false"/>
          <w:i/>
          <w:color w:val="000000"/>
          <w:sz w:val="22"/>
        </w:rPr>
        <w:t>“d”</w:t>
      </w:r>
      <w:r>
        <w:rPr>
          <w:rFonts w:ascii="Times New Roman" w:hAnsi="Times New Roman"/>
          <w:b w:val="false"/>
          <w:i w:val="false"/>
          <w:color w:val="000000"/>
          <w:sz w:val="22"/>
        </w:rPr>
        <w:t>(1) may apply toward business-related courses.</w:t>
      </w:r>
    </w:p>
    <w:p>
      <w:pPr>
        <w:spacing w:before="0" w:after="0"/>
        <w:ind w:left="120"/>
        <w:jc w:val="both"/>
      </w:pPr>
      <w:r>
        <w:rPr>
          <w:rFonts w:ascii="Times New Roman" w:hAnsi="Times New Roman"/>
          <w:b w:val="false"/>
          <w:i w:val="false"/>
          <w:color w:val="000000"/>
          <w:sz w:val="22"/>
        </w:rPr>
        <w:t>Quarter hours will be accepted in lieu of semester hours at a 3:2 ratio; that is, three quarter hours are equivalent to two semester hours. Internships and life experience hours may apply toward the total required 150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1023.3(2)</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correspondence study and study in other schools not meeting the above requirements on an individual basis if the candidate can provide evidence that such study would be acceptable for credit by a college or university recognized by the board; provided, however, that at least 18 of the required hours in accounting and at least 16 of the required hours in business-related subjects are obtained from a college or university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1023.3(3)</w:t>
      </w:r>
      <w:r>
        <w:rPr>
          <w:rFonts w:ascii="Times New Roman" w:hAnsi="Times New Roman"/>
          <w:b w:val="false"/>
          <w:i w:val="false"/>
          <w:color w:val="000000"/>
          <w:sz w:val="22"/>
        </w:rPr>
        <w:t> </w:t>
      </w:r>
      <w:r>
        <w:rPr>
          <w:rFonts w:ascii="Times New Roman" w:hAnsi="Times New Roman"/>
          <w:b w:val="false"/>
          <w:i w:val="false"/>
          <w:color w:val="000000"/>
          <w:sz w:val="22"/>
        </w:rPr>
        <w:t>The applicant needs to have an official transcript of credit issued by a recognized institution sent by the institution to the board’s test administrator at the time of application in order for the applicant’s claimed college or university credits to be confirmed.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1023.3(4)</w:t>
      </w:r>
      <w:r>
        <w:rPr>
          <w:rFonts w:ascii="Times New Roman" w:hAnsi="Times New Roman"/>
          <w:b w:val="false"/>
          <w:i w:val="false"/>
          <w:color w:val="000000"/>
          <w:sz w:val="22"/>
        </w:rPr>
        <w:t> </w:t>
      </w:r>
      <w:r>
        <w:rPr>
          <w:rFonts w:ascii="Times New Roman" w:hAnsi="Times New Roman"/>
          <w:b w:val="false"/>
          <w:i w:val="false"/>
          <w:color w:val="000000"/>
          <w:sz w:val="22"/>
        </w:rPr>
        <w:t>Graduates of foreign colleges or universities will have their education evaluated by a foreign credentials evaluation advisory service specified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481—1023.4</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1023.4(1)</w:t>
      </w:r>
      <w:r>
        <w:rPr>
          <w:rFonts w:ascii="Times New Roman" w:hAnsi="Times New Roman"/>
          <w:b w:val="false"/>
          <w:i w:val="false"/>
          <w:color w:val="000000"/>
          <w:sz w:val="22"/>
        </w:rPr>
        <w:t> </w:t>
      </w:r>
      <w:r>
        <w:rPr>
          <w:rFonts w:ascii="Times New Roman" w:hAnsi="Times New Roman"/>
          <w:b w:val="false"/>
          <w:i w:val="false"/>
          <w:color w:val="000000"/>
          <w:sz w:val="22"/>
        </w:rPr>
        <w:t>An individual desiring to take the certified public accountant examination as an initial candidate should apply to the board’s test administrator. Only a complete application will be considered. A complete application includes a completed application form, the designated fee, and all applicable college transcripts.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apply for the examination, a candidate needs to fulfill the requirements of rule </w:t>
      </w:r>
      <w:hyperlink r:id="rId14">
        <w:r>
          <w:rPr>
            <w:rStyle w:val="Hyperlink"/>
            <w:rFonts w:ascii="Times New Roman" w:hAnsi="Times New Roman"/>
            <w:b w:val="false"/>
            <w:i w:val="false"/>
            <w:color w:val="000000"/>
            <w:sz w:val="22"/>
          </w:rPr>
          <w:t>481—1023.3</w:t>
        </w:r>
      </w:hyperlink>
      <w:r>
        <w:rPr>
          <w:rFonts w:ascii="Times New Roman" w:hAnsi="Times New Roman"/>
          <w:b w:val="false"/>
          <w:i w:val="false"/>
          <w:color w:val="000000"/>
          <w:sz w:val="22"/>
        </w:rPr>
        <w:t xml:space="preserve">(542). A candidate may apply for the examination before the educational requirements are met pursuant to Iowa Code section </w:t>
      </w:r>
      <w:hyperlink r:id="rId15">
        <w:r>
          <w:rPr>
            <w:rStyle w:val="Hyperlink"/>
            <w:rFonts w:ascii="Times New Roman" w:hAnsi="Times New Roman"/>
            <w:b w:val="false"/>
            <w:i w:val="false"/>
            <w:color w:val="000000"/>
            <w:sz w:val="22"/>
          </w:rPr>
          <w:t>542.5(9)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whose application is denied under subrule </w:t>
      </w:r>
      <w:hyperlink r:id="rId16">
        <w:r>
          <w:rPr>
            <w:rStyle w:val="Hyperlink"/>
            <w:rFonts w:ascii="Times New Roman" w:hAnsi="Times New Roman"/>
            <w:b w:val="false"/>
            <w:i w:val="false"/>
            <w:color w:val="000000"/>
            <w:sz w:val="22"/>
          </w:rPr>
          <w:t>1023.1(2)</w:t>
        </w:r>
      </w:hyperlink>
      <w:r>
        <w:rPr>
          <w:rFonts w:ascii="Times New Roman" w:hAnsi="Times New Roman"/>
          <w:b w:val="false"/>
          <w:i w:val="false"/>
          <w:color w:val="000000"/>
          <w:sz w:val="22"/>
        </w:rPr>
        <w:t xml:space="preserve"> may be denied admittance to the examination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1023.4(4)</w:t>
      </w:r>
      <w:r>
        <w:rPr>
          <w:rFonts w:ascii="Times New Roman" w:hAnsi="Times New Roman"/>
          <w:b w:val="false"/>
          <w:i w:val="false"/>
          <w:color w:val="000000"/>
          <w:sz w:val="22"/>
        </w:rPr>
        <w:t> </w:t>
      </w:r>
      <w:r>
        <w:rPr>
          <w:rFonts w:ascii="Times New Roman" w:hAnsi="Times New Roman"/>
          <w:b w:val="false"/>
          <w:i w:val="false"/>
          <w:color w:val="000000"/>
          <w:sz w:val="22"/>
        </w:rPr>
        <w:t>A candidate may be considered as a reexamination applicant regardless of whether or not the candidate sat for the examination once initially approved. Reexamination applicants may apply to the board’s test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1023.4(5)</w:t>
      </w:r>
      <w:r>
        <w:rPr>
          <w:rFonts w:ascii="Times New Roman" w:hAnsi="Times New Roman"/>
          <w:b w:val="false"/>
          <w:i w:val="false"/>
          <w:color w:val="000000"/>
          <w:sz w:val="22"/>
        </w:rPr>
        <w:t> </w:t>
      </w:r>
      <w:r>
        <w:rPr>
          <w:rFonts w:ascii="Times New Roman" w:hAnsi="Times New Roman"/>
          <w:b w:val="false"/>
          <w:i w:val="false"/>
          <w:color w:val="000000"/>
          <w:sz w:val="22"/>
        </w:rPr>
        <w:t>A nonrefundable proctoring fee will be collected from a candidate who wishes to be proctored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481—1023.5</w:t>
      </w:r>
      <w:r>
        <w:rPr>
          <w:rFonts w:ascii="Times New Roman" w:hAnsi="Times New Roman"/>
          <w:b/>
          <w:i w:val="false"/>
          <w:color w:val="000000"/>
          <w:sz w:val="22"/>
        </w:rPr>
        <w:t xml:space="preserve">(542) </w:t>
      </w:r>
      <w:r>
        <w:rPr>
          <w:rFonts w:ascii="Times New Roman" w:hAnsi="Times New Roman"/>
          <w:b/>
          <w:i w:val="false"/>
          <w:color w:val="000000"/>
          <w:sz w:val="22"/>
        </w:rPr>
        <w:t xml:space="preserve">Content and grading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1023.5(1)</w:t>
      </w:r>
      <w:r>
        <w:rPr>
          <w:rFonts w:ascii="Times New Roman" w:hAnsi="Times New Roman"/>
          <w:b w:val="false"/>
          <w:i w:val="false"/>
          <w:color w:val="000000"/>
          <w:sz w:val="22"/>
        </w:rPr>
        <w:t> </w:t>
      </w:r>
      <w:r>
        <w:rPr>
          <w:rFonts w:ascii="Times New Roman" w:hAnsi="Times New Roman"/>
          <w:b w:val="false"/>
          <w:i w:val="false"/>
          <w:color w:val="000000"/>
          <w:sz w:val="22"/>
        </w:rPr>
        <w:t>The board may use the Uniform Certified Public Accountant Examination prepared by the American Institute of Certified Public Accountants or another nationally recognized organization under a plan of cooperation with the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1023.5(2)</w:t>
      </w:r>
      <w:r>
        <w:rPr>
          <w:rFonts w:ascii="Times New Roman" w:hAnsi="Times New Roman"/>
          <w:b w:val="false"/>
          <w:i w:val="false"/>
          <w:color w:val="000000"/>
          <w:sz w:val="22"/>
        </w:rPr>
        <w:t> </w:t>
      </w:r>
      <w:r>
        <w:rPr>
          <w:rFonts w:ascii="Times New Roman" w:hAnsi="Times New Roman"/>
          <w:b w:val="false"/>
          <w:i w:val="false"/>
          <w:color w:val="000000"/>
          <w:sz w:val="22"/>
        </w:rPr>
        <w:t>The board may also make use of the advisory grading service provided by the American Institute of Certified Public Accountants or another nationally recognized organization under a plan of cooperation with the boards of all states and territories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481—1023.6</w:t>
      </w:r>
      <w:r>
        <w:rPr>
          <w:rFonts w:ascii="Times New Roman" w:hAnsi="Times New Roman"/>
          <w:b/>
          <w:i w:val="false"/>
          <w:color w:val="000000"/>
          <w:sz w:val="22"/>
        </w:rPr>
        <w:t xml:space="preserve">(542) </w:t>
      </w:r>
      <w:r>
        <w:rPr>
          <w:rFonts w:ascii="Times New Roman" w:hAnsi="Times New Roman"/>
          <w:b/>
          <w:i w:val="false"/>
          <w:color w:val="000000"/>
          <w:sz w:val="22"/>
        </w:rPr>
        <w:t xml:space="preserve">Conditional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1023.6(1)</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with the implementation of the computer-based examination, a candidate may take the test subjects individually and in any order. Except as provided in rule </w:t>
      </w:r>
      <w:hyperlink r:id="rId17">
        <w:r>
          <w:rPr>
            <w:rStyle w:val="Hyperlink"/>
            <w:rFonts w:ascii="Times New Roman" w:hAnsi="Times New Roman"/>
            <w:b w:val="false"/>
            <w:i w:val="false"/>
            <w:color w:val="000000"/>
            <w:sz w:val="22"/>
          </w:rPr>
          <w:t>481—1023.7</w:t>
        </w:r>
      </w:hyperlink>
      <w:r>
        <w:rPr>
          <w:rFonts w:ascii="Times New Roman" w:hAnsi="Times New Roman"/>
          <w:b w:val="false"/>
          <w:i w:val="false"/>
          <w:color w:val="000000"/>
          <w:sz w:val="22"/>
        </w:rPr>
        <w:t>(542), credit for any subjects passed will be valid for 30 months from the actual date initial credit is earned, without the candidate having to attain a minimum score on any failed subject(s) and without regard to whether the candidate sat for any other subjects. The candidate needs to pass all four subjects of the examination within a rolling 30-month period that begins on the date initial credit is earned, which is calculated on the date the examination administrator provides scores to the boards, the candidate, or both. If all four subjects are not passed within the 30-month period, credit for any subject taken outside the 30-month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1023.6(2)</w:t>
      </w:r>
      <w:r>
        <w:rPr>
          <w:rFonts w:ascii="Times New Roman" w:hAnsi="Times New Roman"/>
          <w:b w:val="false"/>
          <w:i w:val="false"/>
          <w:color w:val="000000"/>
          <w:sz w:val="22"/>
        </w:rPr>
        <w:t> </w:t>
      </w:r>
      <w:r>
        <w:rPr>
          <w:rFonts w:ascii="Times New Roman" w:hAnsi="Times New Roman"/>
          <w:b w:val="false"/>
          <w:i w:val="false"/>
          <w:color w:val="000000"/>
          <w:sz w:val="22"/>
        </w:rPr>
        <w:t>A candidate will be deemed to have passed the examination once the candidate holds, at the same time, valid credit for passing each of the four subjects of the examination. For purposes of this rule, credit for passing a subject of the examination is valid from the actual date of the testing event for that subject, regardless of the date the candidate actually received notice of the passing score.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481—1023.7</w:t>
      </w:r>
      <w:r>
        <w:rPr>
          <w:rFonts w:ascii="Times New Roman" w:hAnsi="Times New Roman"/>
          <w:b/>
          <w:i w:val="false"/>
          <w:color w:val="000000"/>
          <w:sz w:val="22"/>
        </w:rPr>
        <w:t xml:space="preserve">(542) </w:t>
      </w:r>
      <w:r>
        <w:rPr>
          <w:rFonts w:ascii="Times New Roman" w:hAnsi="Times New Roman"/>
          <w:b/>
          <w:i w:val="false"/>
          <w:color w:val="000000"/>
          <w:sz w:val="22"/>
        </w:rPr>
        <w:t xml:space="preserve">Extension of conditional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1023.7(1)</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will not include any period during which the candidate was serving in the armed forces of the United States. This exception does not apply if the candidate takes an examination while so serving. The board may extend the time limit in particular instances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1023.7(2)</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may be extended for hardship cases, such as when the applicant for the examination is prevented from attending for such reasons as unexpected illness, verified by a medical doctor, or a death in the family, verified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1023.7(3)</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may be extended if circumstances occur that prevent the score from an examination from reaching the candidate in a reasonable period of time. Such circumstances would allow the candidate the opportunity to retake a failed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481—1023.8</w:t>
      </w:r>
      <w:r>
        <w:rPr>
          <w:rFonts w:ascii="Times New Roman" w:hAnsi="Times New Roman"/>
          <w:b/>
          <w:i w:val="false"/>
          <w:color w:val="000000"/>
          <w:sz w:val="22"/>
        </w:rPr>
        <w:t xml:space="preserve">(542) </w:t>
      </w:r>
      <w:r>
        <w:rPr>
          <w:rFonts w:ascii="Times New Roman" w:hAnsi="Times New Roman"/>
          <w:b/>
          <w:i w:val="false"/>
          <w:color w:val="000000"/>
          <w:sz w:val="22"/>
        </w:rPr>
        <w:t xml:space="preserve">Transfer of credit from another jurisdiction. </w:t>
      </w:r>
      <w:r>
        <w:rPr>
          <w:rFonts w:ascii="Times New Roman" w:hAnsi="Times New Roman"/>
          <w:b w:val="false"/>
          <w:i w:val="false"/>
          <w:color w:val="000000"/>
          <w:sz w:val="22"/>
        </w:rPr>
        <w:t>A candidate requesting transfer of grades from any other jurisdiction will be subject to the same provisions of these rules as an Iowa candidate, provided that the examination given by the licensing authority in the other state was an examination approved by the Iowa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481—1023.9</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procedures. </w:t>
      </w:r>
      <w:r>
        <w:rPr>
          <w:rFonts w:ascii="Times New Roman" w:hAnsi="Times New Roman"/>
          <w:b w:val="false"/>
          <w:i w:val="false"/>
          <w:color w:val="000000"/>
          <w:sz w:val="22"/>
        </w:rPr>
        <w:t>At the examination, a candidate needs to provide evidence of identification and comply with the requirements of the examination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481—1023.10</w:t>
      </w:r>
      <w:r>
        <w:rPr>
          <w:rFonts w:ascii="Times New Roman" w:hAnsi="Times New Roman"/>
          <w:b/>
          <w:i w:val="false"/>
          <w:color w:val="000000"/>
          <w:sz w:val="22"/>
        </w:rPr>
        <w:t xml:space="preserve">(542) </w:t>
      </w:r>
      <w:r>
        <w:rPr>
          <w:rFonts w:ascii="Times New Roman" w:hAnsi="Times New Roman"/>
          <w:b/>
          <w:i w:val="false"/>
          <w:color w:val="000000"/>
          <w:sz w:val="22"/>
        </w:rPr>
        <w:t xml:space="preserve">Conduct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accountancy licensing and certification examinations in Iowa, or be subject to the imposition of other sanctions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1023.10(2)</w:t>
      </w:r>
      <w:r>
        <w:rPr>
          <w:rFonts w:ascii="Times New Roman" w:hAnsi="Times New Roman"/>
          <w:b w:val="false"/>
          <w:i w:val="false"/>
          <w:color w:val="000000"/>
          <w:sz w:val="22"/>
        </w:rPr>
        <w:t> </w:t>
      </w:r>
      <w:r>
        <w:rPr>
          <w:rFonts w:ascii="Times New Roman" w:hAnsi="Times New Roman"/>
          <w:b w:val="false"/>
          <w:i w:val="false"/>
          <w:color w:val="000000"/>
          <w:sz w:val="22"/>
        </w:rPr>
        <w:t>Individuals are subject to the conduct rules and regulations of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examination candidate who wishes to appeal a decision of the board under this rule may request a contested case hearing. The request for hearing needs to be in writing, briefly describe the basis for the appeal, and be filed in the board’s office within 30 days of the date of the board decision being appealed. Any hearing requested under this subrule will be governed by the rules applicable to contested case hearings under </w:t>
      </w:r>
      <w:hyperlink r:id="rId1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481—1023.11</w:t>
      </w:r>
      <w:r>
        <w:rPr>
          <w:rFonts w:ascii="Times New Roman" w:hAnsi="Times New Roman"/>
          <w:b/>
          <w:i w:val="false"/>
          <w:color w:val="000000"/>
          <w:sz w:val="22"/>
        </w:rPr>
        <w:t xml:space="preserve">(542) </w:t>
      </w:r>
      <w:r>
        <w:rPr>
          <w:rFonts w:ascii="Times New Roman" w:hAnsi="Times New Roman"/>
          <w:b/>
          <w:i w:val="false"/>
          <w:color w:val="000000"/>
          <w:sz w:val="22"/>
        </w:rPr>
        <w:t xml:space="preserve">Refunding of examination fees. </w:t>
      </w:r>
      <w:r>
        <w:rPr>
          <w:rFonts w:ascii="Times New Roman" w:hAnsi="Times New Roman"/>
          <w:b w:val="false"/>
          <w:i w:val="false"/>
          <w:color w:val="000000"/>
          <w:sz w:val="22"/>
        </w:rPr>
        <w:t>Examination fees will not be refunded except in hardship cases, such as when the candidate for the examination is prevented from attending for such reasons as unexpected illness, verified by a medical doctor, a death in the family, or a call to active military service, in which case 50 percent of the fee may be returned. Written documentation including evidence of the hardship will be provided to the board’s test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481—1023.12</w:t>
      </w:r>
      <w:r>
        <w:rPr>
          <w:rFonts w:ascii="Times New Roman" w:hAnsi="Times New Roman"/>
          <w:b/>
          <w:i w:val="false"/>
          <w:color w:val="000000"/>
          <w:sz w:val="22"/>
        </w:rPr>
        <w:t xml:space="preserve">(542) </w:t>
      </w:r>
      <w:r>
        <w:rPr>
          <w:rFonts w:ascii="Times New Roman" w:hAnsi="Times New Roman"/>
          <w:b/>
          <w:i w:val="false"/>
          <w:color w:val="000000"/>
          <w:sz w:val="22"/>
        </w:rPr>
        <w:t xml:space="preserve">Experience for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experience will consist of full- or part-time employment that extends over a period of no less than one year and no more than three years and includes no fewer than 2,000 hours of performance of services outlined in Iowa Code section </w:t>
      </w:r>
      <w:hyperlink r:id="rId20">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Experience may be gained in more than one employment situation, including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qualification as an attest CPA will have, at a minimum, two years of experience, as described in </w:t>
      </w:r>
      <w:hyperlink r:id="rId21">
        <w:r>
          <w:rPr>
            <w:rStyle w:val="Hyperlink"/>
            <w:rFonts w:ascii="Times New Roman" w:hAnsi="Times New Roman"/>
            <w:b w:val="false"/>
            <w:i w:val="false"/>
            <w:color w:val="000000"/>
            <w:sz w:val="22"/>
          </w:rPr>
          <w:t>481—subrule 1026.2(1)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experience will be verified by a licensee with direct supervisory control over the applicant or by a licensee who can attest that the experience gained by the applicant meets the requirements of Iowa Code section </w:t>
      </w:r>
      <w:hyperlink r:id="rId22">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xml:space="preserve"> if the applicant is not supervised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1023.12(4)</w:t>
      </w:r>
      <w:r>
        <w:rPr>
          <w:rFonts w:ascii="Times New Roman" w:hAnsi="Times New Roman"/>
          <w:b w:val="false"/>
          <w:i w:val="false"/>
          <w:color w:val="000000"/>
          <w:sz w:val="22"/>
        </w:rPr>
        <w:t> </w:t>
      </w:r>
      <w:r>
        <w:rPr>
          <w:rFonts w:ascii="Times New Roman" w:hAnsi="Times New Roman"/>
          <w:b w:val="false"/>
          <w:i w:val="false"/>
          <w:color w:val="000000"/>
          <w:sz w:val="22"/>
        </w:rPr>
        <w:t>Teaching experience will be in the employment of an institution of higher education and will include teaching a minimum of 24 semester hours of accounting courses for which the course participants receive credit on an official transcript. Teaching of noncredit continuing education courses will not qualify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481—1023.13</w:t>
      </w:r>
      <w:r>
        <w:rPr>
          <w:rFonts w:ascii="Times New Roman" w:hAnsi="Times New Roman"/>
          <w:b/>
          <w:i w:val="false"/>
          <w:color w:val="000000"/>
          <w:sz w:val="22"/>
        </w:rPr>
        <w:t xml:space="preserve">(542) </w:t>
      </w:r>
      <w:r>
        <w:rPr>
          <w:rFonts w:ascii="Times New Roman" w:hAnsi="Times New Roman"/>
          <w:b/>
          <w:i w:val="false"/>
          <w:color w:val="000000"/>
          <w:sz w:val="22"/>
        </w:rPr>
        <w:t xml:space="preserve">Ethics course and examination. </w:t>
      </w:r>
      <w:r>
        <w:rPr>
          <w:rFonts w:ascii="Times New Roman" w:hAnsi="Times New Roman"/>
          <w:b w:val="false"/>
          <w:i w:val="false"/>
          <w:color w:val="000000"/>
          <w:sz w:val="22"/>
        </w:rPr>
        <w:t>A successful candidate will need to pass an examination covering the code of ethical conduct prior to issuance of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481—1023.14</w:t>
      </w:r>
      <w:r>
        <w:rPr>
          <w:rFonts w:ascii="Times New Roman" w:hAnsi="Times New Roman"/>
          <w:b/>
          <w:i w:val="false"/>
          <w:color w:val="000000"/>
          <w:sz w:val="22"/>
        </w:rPr>
        <w:t xml:space="preserve">(542) </w:t>
      </w:r>
      <w:r>
        <w:rPr>
          <w:rFonts w:ascii="Times New Roman" w:hAnsi="Times New Roman"/>
          <w:b/>
          <w:i w:val="false"/>
          <w:color w:val="000000"/>
          <w:sz w:val="22"/>
        </w:rPr>
        <w:t xml:space="preserve">Obtaining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1023.14(1)</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 successfully passes the examination, completes the ethics course and examination and meets the obligations of rule </w:t>
      </w:r>
      <w:hyperlink r:id="rId23">
        <w:r>
          <w:rPr>
            <w:rStyle w:val="Hyperlink"/>
            <w:rFonts w:ascii="Times New Roman" w:hAnsi="Times New Roman"/>
            <w:b w:val="false"/>
            <w:i w:val="false"/>
            <w:color w:val="000000"/>
            <w:sz w:val="22"/>
          </w:rPr>
          <w:t>481—1023.1</w:t>
        </w:r>
      </w:hyperlink>
      <w:r>
        <w:rPr>
          <w:rFonts w:ascii="Times New Roman" w:hAnsi="Times New Roman"/>
          <w:b w:val="false"/>
          <w:i w:val="false"/>
          <w:color w:val="000000"/>
          <w:sz w:val="22"/>
        </w:rPr>
        <w:t xml:space="preserve">(542) needs to apply for the certificate on the board’s website. An applicant for a certificate may be denied the certificate for reasons outlined in subrule </w:t>
      </w:r>
      <w:hyperlink r:id="rId24">
        <w:r>
          <w:rPr>
            <w:rStyle w:val="Hyperlink"/>
            <w:rFonts w:ascii="Times New Roman" w:hAnsi="Times New Roman"/>
            <w:b w:val="false"/>
            <w:i w:val="false"/>
            <w:color w:val="000000"/>
            <w:sz w:val="22"/>
          </w:rPr>
          <w:t>1023.4(3)</w:t>
        </w:r>
      </w:hyperlink>
      <w:r>
        <w:rPr>
          <w:rFonts w:ascii="Times New Roman" w:hAnsi="Times New Roman"/>
          <w:b w:val="false"/>
          <w:i w:val="false"/>
          <w:color w:val="000000"/>
          <w:sz w:val="22"/>
        </w:rPr>
        <w:t xml:space="preserve"> regardless of when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candidate does not file an application for a certificate within three years of passing the examination, the candidate needs to comply with the basic continuing education obligations outlined in rule </w:t>
      </w:r>
      <w:hyperlink r:id="rId25">
        <w:r>
          <w:rPr>
            <w:rStyle w:val="Hyperlink"/>
            <w:rFonts w:ascii="Times New Roman" w:hAnsi="Times New Roman"/>
            <w:b w:val="false"/>
            <w:i w:val="false"/>
            <w:color w:val="000000"/>
            <w:sz w:val="22"/>
          </w:rPr>
          <w:t>481—1030.5</w:t>
        </w:r>
      </w:hyperlink>
      <w:r>
        <w:rPr>
          <w:rFonts w:ascii="Times New Roman" w:hAnsi="Times New Roman"/>
          <w:b w:val="false"/>
          <w:i w:val="false"/>
          <w:color w:val="000000"/>
          <w:sz w:val="22"/>
        </w:rPr>
        <w:t>(542) prior to filing an application. The continuing education hours need to include a minimum of eight hours of continuing education every three years devoted to financial statement presentation, such as courses covering the statements on standards for accounting and review services (SSARS) and accounting and auditing updates.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481—1023.15</w:t>
      </w:r>
      <w:r>
        <w:rPr>
          <w:rFonts w:ascii="Times New Roman" w:hAnsi="Times New Roman"/>
          <w:b/>
          <w:i w:val="false"/>
          <w:color w:val="000000"/>
          <w:sz w:val="22"/>
        </w:rPr>
        <w:t xml:space="preserve">(542) </w:t>
      </w:r>
      <w:r>
        <w:rPr>
          <w:rFonts w:ascii="Times New Roman" w:hAnsi="Times New Roman"/>
          <w:b/>
          <w:i w:val="false"/>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1023.15(1)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person who holds an active, unexpired certificate and who complies with the requirements of </w:t>
      </w:r>
      <w:hyperlink r:id="rId26">
        <w:r>
          <w:rPr>
            <w:rStyle w:val="Hyperlink"/>
            <w:rFonts w:ascii="Times New Roman" w:hAnsi="Times New Roman"/>
            <w:b w:val="false"/>
            <w:i w:val="false"/>
            <w:color w:val="000000"/>
            <w:sz w:val="22"/>
          </w:rPr>
          <w:t>481—Chapters 1025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1030</w:t>
        </w:r>
      </w:hyperlink>
      <w:r>
        <w:rPr>
          <w:rFonts w:ascii="Times New Roman" w:hAnsi="Times New Roman"/>
          <w:b w:val="false"/>
          <w:i w:val="false"/>
          <w:color w:val="000000"/>
          <w:sz w:val="22"/>
        </w:rPr>
        <w:t xml:space="preserve"> or a person lawfully exercising a practice privilege under Iowa Code section </w:t>
      </w:r>
      <w:hyperlink r:id="rId2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 sign, card, or device tending to indicate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1023.15(2)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regarding the use of the title “CPA” in a firm name are found in the AICPA Code of Professional Conduct as adopted by reference in </w:t>
      </w:r>
      <w:hyperlink r:id="rId29">
        <w:r>
          <w:rPr>
            <w:rStyle w:val="Hyperlink"/>
            <w:rFonts w:ascii="Times New Roman" w:hAnsi="Times New Roman"/>
            <w:b w:val="false"/>
            <w:i w:val="false"/>
            <w:color w:val="000000"/>
            <w:sz w:val="22"/>
          </w:rPr>
          <w:t>481—Chapter 1033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12/30/94, Notice 10/12/94—published 1/18/95, effective 2/22/95]</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4657C</w:t>
      </w:r>
      <w:r>
        <w:rPr>
          <w:rFonts w:ascii="Times New Roman" w:hAnsi="Times New Roman"/>
          <w:b w:val="false"/>
          <w:i w:val="false"/>
          <w:color w:val="000000"/>
          <w:sz w:val="21"/>
        </w:rPr>
        <w:t xml:space="preserve"> (Notice ARC 4507C, IAB 6/19/19)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7679C</w:t>
      </w:r>
      <w:r>
        <w:rPr>
          <w:rFonts w:ascii="Times New Roman" w:hAnsi="Times New Roman"/>
          <w:b w:val="false"/>
          <w:i w:val="false"/>
          <w:color w:val="000000"/>
          <w:sz w:val="21"/>
        </w:rPr>
        <w:t xml:space="preserve"> (Notice ARC 7386C,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5.pdf" Type="http://schemas.openxmlformats.org/officeDocument/2006/relationships/hyperlink" Id="rId5"/>
    <Relationship TargetMode="External" Target="https://www.legis.iowa.gov/docs/ico/chapter/542.6.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ac/chapter/481.1037.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co/chapter/542.5.pdf" Type="http://schemas.openxmlformats.org/officeDocument/2006/relationships/hyperlink" Id="rId10"/>
    <Relationship TargetMode="External" Target="https://www.legis.iowa.gov/docs/ico/chapter/542.5.pdf" Type="http://schemas.openxmlformats.org/officeDocument/2006/relationships/hyperlink" Id="rId11"/>
    <Relationship TargetMode="External" Target="https://www.legis.iowa.gov/docs/ico/chapter/542.5.pdf" Type="http://schemas.openxmlformats.org/officeDocument/2006/relationships/hyperlink" Id="rId12"/>
    <Relationship TargetMode="External" Target="https://www.legis.iowa.gov/docs/iac/rule/481.1023.3.pdf" Type="http://schemas.openxmlformats.org/officeDocument/2006/relationships/hyperlink" Id="rId13"/>
    <Relationship TargetMode="External" Target="https://www.legis.iowa.gov/docs/iac/rule/481.1023.3.pdf" Type="http://schemas.openxmlformats.org/officeDocument/2006/relationships/hyperlink" Id="rId14"/>
    <Relationship TargetMode="External" Target="https://www.legis.iowa.gov/docs/ico/chapter/542.5.pdf" Type="http://schemas.openxmlformats.org/officeDocument/2006/relationships/hyperlink" Id="rId15"/>
    <Relationship TargetMode="External" Target="https://www.legis.iowa.gov/docs/iac/rule/481.1023.1.pdf" Type="http://schemas.openxmlformats.org/officeDocument/2006/relationships/hyperlink" Id="rId16"/>
    <Relationship TargetMode="External" Target="https://www.legis.iowa.gov/docs/iac/rule/481.1023.7.pdf" Type="http://schemas.openxmlformats.org/officeDocument/2006/relationships/hyperlink" Id="rId17"/>
    <Relationship TargetMode="External" Target="https://www.legis.iowa.gov/docs/ico/chapter/542.5.pdf" Type="http://schemas.openxmlformats.org/officeDocument/2006/relationships/hyperlink" Id="rId18"/>
    <Relationship TargetMode="External" Target="https://www.legis.iowa.gov/docs/iac/chapter/481.506.pdf" Type="http://schemas.openxmlformats.org/officeDocument/2006/relationships/hyperlink" Id="rId19"/>
    <Relationship TargetMode="External" Target="https://www.legis.iowa.gov/docs/ico/chapter/542.5.pdf" Type="http://schemas.openxmlformats.org/officeDocument/2006/relationships/hyperlink" Id="rId20"/>
    <Relationship TargetMode="External" Target="https://www.legis.iowa.gov/docs/iac/rule/481.1026.2.pdf" Type="http://schemas.openxmlformats.org/officeDocument/2006/relationships/hyperlink" Id="rId21"/>
    <Relationship TargetMode="External" Target="https://www.legis.iowa.gov/docs/ico/chapter/542.5.pdf" Type="http://schemas.openxmlformats.org/officeDocument/2006/relationships/hyperlink" Id="rId22"/>
    <Relationship TargetMode="External" Target="https://www.legis.iowa.gov/docs/iac/rule/481.1023.1.pdf" Type="http://schemas.openxmlformats.org/officeDocument/2006/relationships/hyperlink" Id="rId23"/>
    <Relationship TargetMode="External" Target="https://www.legis.iowa.gov/docs/iac/rule/481.1023.4.pdf" Type="http://schemas.openxmlformats.org/officeDocument/2006/relationships/hyperlink" Id="rId24"/>
    <Relationship TargetMode="External" Target="https://www.legis.iowa.gov/docs/iac/rule/481.1030.5.pdf" Type="http://schemas.openxmlformats.org/officeDocument/2006/relationships/hyperlink" Id="rId25"/>
    <Relationship TargetMode="External" Target="https://www.legis.iowa.gov/docs/iac/chapter/481.1025.pdf" Type="http://schemas.openxmlformats.org/officeDocument/2006/relationships/hyperlink" Id="rId26"/>
    <Relationship TargetMode="External" Target="https://www.legis.iowa.gov/docs/iac/chapter/481.1030.pdf" Type="http://schemas.openxmlformats.org/officeDocument/2006/relationships/hyperlink" Id="rId27"/>
    <Relationship TargetMode="External" Target="https://www.legis.iowa.gov/docs/ico/chapter/542.20.pdf" Type="http://schemas.openxmlformats.org/officeDocument/2006/relationships/hyperlink" Id="rId28"/>
    <Relationship TargetMode="External" Target="https://www.legis.iowa.gov/docs/iac/chapter/481.1033.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10A.506.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