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ACCOUNTANCY EXAMINING BOARD</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1021</w:t>
      </w:r>
    </w:p>
    <w:p>
      <w:pPr>
        <w:spacing w:before="0" w:after="0"/>
        <w:ind w:left="120"/>
        <w:jc w:val="center"/>
      </w:pPr>
      <w:r>
        <w:rPr>
          <w:rFonts w:ascii="Times New Roman" w:hAnsi="Times New Roman"/>
          <w:b w:val="false"/>
          <w:i w:val="false"/>
          <w:color w:val="000000"/>
          <w:sz w:val="21"/>
        </w:rPr>
        <w:t>DEFINITIONS</w:t>
      </w:r>
    </w:p>
    <w:p>
      <w:pPr>
        <w:spacing w:before="0" w:after="0"/>
        <w:ind w:left="120"/>
        <w:jc w:val="center"/>
      </w:pPr>
      <w:r>
        <w:rPr>
          <w:rFonts w:ascii="Times New Roman" w:hAnsi="Times New Roman"/>
          <w:b w:val="false"/>
          <w:i w:val="false"/>
          <w:color w:val="000000"/>
          <w:sz w:val="20"/>
        </w:rPr>
        <w:t>[Prior to 7/13/88, see Accountancy, Board of[10]]</w:t>
      </w:r>
    </w:p>
    <w:p>
      <w:pPr>
        <w:spacing w:before="0" w:after="0"/>
        <w:ind w:left="120"/>
        <w:jc w:val="center"/>
      </w:pPr>
      <w:r>
        <w:rPr>
          <w:rFonts w:ascii="Times New Roman" w:hAnsi="Times New Roman"/>
          <w:b w:val="false"/>
          <w:i w:val="false"/>
          <w:color w:val="000000"/>
          <w:sz w:val="20"/>
        </w:rPr>
        <w:t>[Prior to 6/10/26, see Accountancy Examining Board[193A]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481—1021.1</w:t>
      </w:r>
      <w:r>
        <w:rPr>
          <w:rFonts w:ascii="Times New Roman" w:hAnsi="Times New Roman"/>
          <w:b/>
          <w:i w:val="false"/>
          <w:color w:val="000000"/>
          <w:sz w:val="22"/>
        </w:rPr>
        <w:t xml:space="preserve">(542)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board of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Accountancy Act of 2001 as amended by </w:t>
      </w:r>
      <w:r>
        <w:rPr>
          <w:rFonts w:ascii="Times New Roman" w:hAnsi="Times New Roman"/>
          <w:b w:val="false"/>
          <w:i w:val="false"/>
          <w:color w:val="000000"/>
          <w:sz w:val="22"/>
        </w:rPr>
        <w:t>2008 Iowa Acts, chapter 1106</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“AICPA”</w:t>
      </w:r>
      <w:r>
        <w:rPr>
          <w:rFonts w:ascii="Times New Roman" w:hAnsi="Times New Roman"/>
          <w:b w:val="false"/>
          <w:i w:val="false"/>
          <w:color w:val="000000"/>
          <w:sz w:val="22"/>
        </w:rPr>
        <w:t> </w:t>
      </w:r>
      <w:r>
        <w:rPr>
          <w:rFonts w:ascii="Times New Roman" w:hAnsi="Times New Roman"/>
          <w:b w:val="false"/>
          <w:i w:val="false"/>
          <w:color w:val="000000"/>
          <w:sz w:val="22"/>
        </w:rPr>
        <w:t>means the American Institute of Certified Public Accountants.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“AICPA Code of Professional Conduct”</w:t>
      </w:r>
      <w:r>
        <w:rPr>
          <w:rFonts w:ascii="Times New Roman" w:hAnsi="Times New Roman"/>
          <w:b w:val="false"/>
          <w:i w:val="false"/>
          <w:color w:val="000000"/>
          <w:sz w:val="22"/>
        </w:rPr>
        <w:t> </w:t>
      </w:r>
      <w:r>
        <w:rPr>
          <w:rFonts w:ascii="Times New Roman" w:hAnsi="Times New Roman"/>
          <w:b w:val="false"/>
          <w:i w:val="false"/>
          <w:color w:val="000000"/>
          <w:sz w:val="22"/>
        </w:rPr>
        <w:t>means the AICPA code of professional conduct as amended through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“attest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542.3(1)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“Attest engagement team”</w:t>
      </w:r>
      <w:r>
        <w:rPr>
          <w:rFonts w:ascii="Times New Roman" w:hAnsi="Times New Roman"/>
          <w:b w:val="false"/>
          <w:i w:val="false"/>
          <w:color w:val="000000"/>
          <w:sz w:val="22"/>
        </w:rPr>
        <w:t> </w:t>
      </w:r>
      <w:r>
        <w:rPr>
          <w:rFonts w:ascii="Times New Roman" w:hAnsi="Times New Roman"/>
          <w:b w:val="false"/>
          <w:i w:val="false"/>
          <w:color w:val="000000"/>
          <w:sz w:val="22"/>
        </w:rPr>
        <w:t>means the team of individuals participating in attest service, including those who perform concurring and second partner reviews. The attest engagement team includes all employees and contractors retained by the firm who participate in attest service, irrespective of their functional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procedures performed in accordance with applicable auditing standards for the purpose of expressing or disclaiming an opinion on the fairness with which the historical financial or other information is presented in conformity with generally accepted accounting principles, another comprehensive basis of accounting, or a basis of accounting described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542.3(2)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542.3(3)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542.3(6)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542.3(7)</w:t>
        </w:r>
      </w:hyperlink>
      <w:r>
        <w:rPr>
          <w:rFonts w:ascii="Times New Roman" w:hAnsi="Times New Roman"/>
          <w:b w:val="false"/>
          <w:i w:val="false"/>
          <w:color w:val="000000"/>
          <w:sz w:val="22"/>
        </w:rPr>
        <w:t xml:space="preserve"> and includes any form of compensation in a fixed or variable amount or percentage received for selling, recommending or referring any product or service of another, including a referral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means anything of value received by a CPA or LPA while practicing public accounting for selling, recommending or referring a product or service of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“Compilation”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“Contingent fee”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542.3(9)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public 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542.3(4)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 of prospective financial information”</w:t>
      </w:r>
      <w:r>
        <w:rPr>
          <w:rFonts w:ascii="Times New Roman" w:hAnsi="Times New Roman"/>
          <w:b w:val="false"/>
          <w:i w:val="false"/>
          <w:color w:val="000000"/>
          <w:sz w:val="22"/>
        </w:rPr>
        <w:t> </w:t>
      </w:r>
      <w:r>
        <w:rPr>
          <w:rFonts w:ascii="Times New Roman" w:hAnsi="Times New Roman"/>
          <w:b w:val="false"/>
          <w:i w:val="false"/>
          <w:color w:val="000000"/>
          <w:sz w:val="22"/>
        </w:rPr>
        <w:t>means an evaluation by a CPA of a forecast or projection, the support underlying the assumptions in the forecast or projection, whether the presentation of the forecast or projection is in conformity with AICPA presentation guidelines, and whether the assumptions in the forecast or projection provide a reasonable basis for the projection or forecast.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“FASB”</w:t>
      </w:r>
      <w:r>
        <w:rPr>
          <w:rFonts w:ascii="Times New Roman" w:hAnsi="Times New Roman"/>
          <w:b w:val="false"/>
          <w:i w:val="false"/>
          <w:color w:val="000000"/>
          <w:sz w:val="22"/>
        </w:rPr>
        <w:t> </w:t>
      </w:r>
      <w:r>
        <w:rPr>
          <w:rFonts w:ascii="Times New Roman" w:hAnsi="Times New Roman"/>
          <w:b w:val="false"/>
          <w:i w:val="false"/>
          <w:color w:val="000000"/>
          <w:sz w:val="22"/>
        </w:rPr>
        <w:t>means the Financial Accounting Standards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presentation of financial data, including accompanying notes derived from accounting records and intended to communicate an entity’s economic resources or obligations at a point in time or the changes therein for a period of time in conformity with a comprehensive basis of accounting, but does not include incidental financial data included in management advisory services reports to support recommendations to a client, nor does it include tax returns and supporting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sole proprietorship, partnership, corporation, professional corporation, professional limited liability company, limited liability partnership or any other form of organization issued a permit to practice as a firm under Iowa Code section </w:t>
      </w:r>
      <w:hyperlink r:id="rId13">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the office of the auditor of state, state of Iowa, when the auditor of state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“Forecast”</w:t>
      </w:r>
      <w:r>
        <w:rPr>
          <w:rFonts w:ascii="Times New Roman" w:hAnsi="Times New Roman"/>
          <w:b w:val="false"/>
          <w:i w:val="false"/>
          <w:color w:val="000000"/>
          <w:sz w:val="22"/>
        </w:rPr>
        <w:t> </w:t>
      </w:r>
      <w:r>
        <w:rPr>
          <w:rFonts w:ascii="Times New Roman" w:hAnsi="Times New Roman"/>
          <w:b w:val="false"/>
          <w:i w:val="false"/>
          <w:color w:val="000000"/>
          <w:sz w:val="22"/>
        </w:rPr>
        <w:t>means prospective financial statements that present, to the best of the responsible party’s knowledge and belief, an entity’s expected financial position, results of operations, and changes in financial position or cash flows that are based on the responsible party’s assumptions reflecting conditions it expects to exist and the course of action it expects to 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“GASB”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Governmental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542.3(10)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“IASB”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International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“IFRS”</w:t>
      </w:r>
      <w:r>
        <w:rPr>
          <w:rFonts w:ascii="Times New Roman" w:hAnsi="Times New Roman"/>
          <w:b w:val="false"/>
          <w:i w:val="false"/>
          <w:color w:val="000000"/>
          <w:sz w:val="22"/>
        </w:rPr>
        <w:t> </w:t>
      </w:r>
      <w:r>
        <w:rPr>
          <w:rFonts w:ascii="Times New Roman" w:hAnsi="Times New Roman"/>
          <w:b w:val="false"/>
          <w:i w:val="false"/>
          <w:color w:val="000000"/>
          <w:sz w:val="22"/>
        </w:rPr>
        <w:t>means International Financial Reporting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“IRS”</w:t>
      </w:r>
      <w:r>
        <w:rPr>
          <w:rFonts w:ascii="Times New Roman" w:hAnsi="Times New Roman"/>
          <w:b w:val="false"/>
          <w:i w:val="false"/>
          <w:color w:val="000000"/>
          <w:sz w:val="22"/>
        </w:rPr>
        <w:t> </w:t>
      </w:r>
      <w:r>
        <w:rPr>
          <w:rFonts w:ascii="Times New Roman" w:hAnsi="Times New Roman"/>
          <w:b w:val="false"/>
          <w:i w:val="false"/>
          <w:color w:val="000000"/>
          <w:sz w:val="22"/>
        </w:rPr>
        <w:t>means the Internal Revenue Service, United States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542.3(11)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public accountant”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542.3(12)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public accounting 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542.3(13)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542.3(14)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“Managing partner,” “managing shareholder,”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“managing member”</w:t>
      </w:r>
      <w:r>
        <w:rPr>
          <w:rFonts w:ascii="Times New Roman" w:hAnsi="Times New Roman"/>
          <w:b w:val="false"/>
          <w:i w:val="false"/>
          <w:color w:val="000000"/>
          <w:sz w:val="22"/>
        </w:rPr>
        <w:t> </w:t>
      </w:r>
      <w:r>
        <w:rPr>
          <w:rFonts w:ascii="Times New Roman" w:hAnsi="Times New Roman"/>
          <w:b w:val="false"/>
          <w:i w:val="false"/>
          <w:color w:val="000000"/>
          <w:sz w:val="22"/>
        </w:rPr>
        <w:t>means the designated individual with ultimate responsibility for the operation of a firm’s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“NASBA”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542.3(17)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“NSA”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Society of Accountants.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542.3(18)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“Owner”</w:t>
      </w:r>
      <w:r>
        <w:rPr>
          <w:rFonts w:ascii="Times New Roman" w:hAnsi="Times New Roman"/>
          <w:b w:val="false"/>
          <w:i w:val="false"/>
          <w:color w:val="000000"/>
          <w:sz w:val="22"/>
        </w:rPr>
        <w:t> </w:t>
      </w:r>
      <w:r>
        <w:rPr>
          <w:rFonts w:ascii="Times New Roman" w:hAnsi="Times New Roman"/>
          <w:b w:val="false"/>
          <w:i w:val="false"/>
          <w:color w:val="000000"/>
          <w:sz w:val="22"/>
        </w:rPr>
        <w:t>means any person who has equity ownership interest in a CPA or LPA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“PCAOB”</w:t>
      </w:r>
      <w:r>
        <w:rPr>
          <w:rFonts w:ascii="Times New Roman" w:hAnsi="Times New Roman"/>
          <w:b w:val="false"/>
          <w:i w:val="false"/>
          <w:color w:val="000000"/>
          <w:sz w:val="22"/>
        </w:rPr>
        <w:t> </w:t>
      </w:r>
      <w:r>
        <w:rPr>
          <w:rFonts w:ascii="Times New Roman" w:hAnsi="Times New Roman"/>
          <w:b w:val="false"/>
          <w:i w:val="false"/>
          <w:color w:val="000000"/>
          <w:sz w:val="22"/>
        </w:rPr>
        <w:t>means the Public Company Accounting Oversight Board created by the Sarbanes-Oxley Act of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“Peer review,”</w:t>
      </w:r>
      <w:r>
        <w:rPr>
          <w:rFonts w:ascii="Times New Roman" w:hAnsi="Times New Roman"/>
          <w:b w:val="false"/>
          <w:i w:val="false"/>
          <w:color w:val="000000"/>
          <w:sz w:val="22"/>
        </w:rPr>
        <w:t> </w:t>
      </w:r>
      <w:r>
        <w:rPr>
          <w:rFonts w:ascii="Times New Roman" w:hAnsi="Times New Roman"/>
          <w:b w:val="false"/>
          <w:i w:val="false"/>
          <w:color w:val="000000"/>
          <w:sz w:val="22"/>
        </w:rPr>
        <w:t>as used in 193A—</w:t>
      </w:r>
      <w:hyperlink r:id="rId22">
        <w:r>
          <w:rPr>
            <w:rStyle w:val="Hyperlink"/>
            <w:rFonts w:ascii="Times New Roman" w:hAnsi="Times New Roman"/>
            <w:b w:val="false"/>
            <w:i w:val="false"/>
            <w:color w:val="000000"/>
            <w:sz w:val="22"/>
          </w:rPr>
          <w:t>Chapters 11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means the same as defined in Iowa Code section </w:t>
      </w:r>
      <w:hyperlink r:id="rId24">
        <w:r>
          <w:rPr>
            <w:rStyle w:val="Hyperlink"/>
            <w:rFonts w:ascii="Times New Roman" w:hAnsi="Times New Roman"/>
            <w:b w:val="false"/>
            <w:i w:val="false"/>
            <w:color w:val="000000"/>
            <w:sz w:val="22"/>
          </w:rPr>
          <w:t>542.3(19)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unless the context indicates otherwise, means individuals, sole proprietorships, partnerships, corporations, limited liability companies, limited liability partnerships or other forms of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associated with a CPA or LPA”</w:t>
      </w:r>
      <w:r>
        <w:rPr>
          <w:rFonts w:ascii="Times New Roman" w:hAnsi="Times New Roman"/>
          <w:b w:val="false"/>
          <w:i w:val="false"/>
          <w:color w:val="000000"/>
          <w:sz w:val="22"/>
        </w:rPr>
        <w:t> </w:t>
      </w:r>
      <w:r>
        <w:rPr>
          <w:rFonts w:ascii="Times New Roman" w:hAnsi="Times New Roman"/>
          <w:b w:val="false"/>
          <w:i w:val="false"/>
          <w:color w:val="000000"/>
          <w:sz w:val="22"/>
        </w:rPr>
        <w:t>means any owner, partner, shareholder, member, employee, assistant, or independent contractor of a CPA or LPA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public accounting”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542.3(24)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privilege”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542.3(25)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place of business”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7">
        <w:r>
          <w:rPr>
            <w:rStyle w:val="Hyperlink"/>
            <w:rFonts w:ascii="Times New Roman" w:hAnsi="Times New Roman"/>
            <w:b w:val="false"/>
            <w:i w:val="false"/>
            <w:color w:val="000000"/>
            <w:sz w:val="22"/>
          </w:rPr>
          <w:t>542.3(26)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“Projection”</w:t>
      </w:r>
      <w:r>
        <w:rPr>
          <w:rFonts w:ascii="Times New Roman" w:hAnsi="Times New Roman"/>
          <w:b w:val="false"/>
          <w:i w:val="false"/>
          <w:color w:val="000000"/>
          <w:sz w:val="22"/>
        </w:rPr>
        <w:t> </w:t>
      </w:r>
      <w:r>
        <w:rPr>
          <w:rFonts w:ascii="Times New Roman" w:hAnsi="Times New Roman"/>
          <w:b w:val="false"/>
          <w:i w:val="false"/>
          <w:color w:val="000000"/>
          <w:sz w:val="22"/>
        </w:rPr>
        <w:t>means prospective financial statements that present, to the best of the responsible party’s knowledge and belief given one or more hypothetical assumptions, an entity’s expected financial position, results of operations, and changes in financial position or cash flows that are based on the responsible party’s assumptions reflecting conditions it expects would exist and the course of action it expects would be taken given such hypothetical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8">
        <w:r>
          <w:rPr>
            <w:rStyle w:val="Hyperlink"/>
            <w:rFonts w:ascii="Times New Roman" w:hAnsi="Times New Roman"/>
            <w:b w:val="false"/>
            <w:i w:val="false"/>
            <w:color w:val="000000"/>
            <w:sz w:val="22"/>
          </w:rPr>
          <w:t>542.3(27)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“Respondent”</w:t>
      </w:r>
      <w:r>
        <w:rPr>
          <w:rFonts w:ascii="Times New Roman" w:hAnsi="Times New Roman"/>
          <w:b w:val="false"/>
          <w:i w:val="false"/>
          <w:color w:val="000000"/>
          <w:sz w:val="22"/>
        </w:rPr>
        <w:t> </w:t>
      </w:r>
      <w:r>
        <w:rPr>
          <w:rFonts w:ascii="Times New Roman" w:hAnsi="Times New Roman"/>
          <w:b w:val="false"/>
          <w:i w:val="false"/>
          <w:color w:val="000000"/>
          <w:sz w:val="22"/>
        </w:rPr>
        <w:t>means any person against whom a formal statement of charges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Iowa Code section </w:t>
      </w:r>
      <w:hyperlink r:id="rId29">
        <w:r>
          <w:rPr>
            <w:rStyle w:val="Hyperlink"/>
            <w:rFonts w:ascii="Times New Roman" w:hAnsi="Times New Roman"/>
            <w:b w:val="false"/>
            <w:i w:val="false"/>
            <w:color w:val="000000"/>
            <w:sz w:val="22"/>
          </w:rPr>
          <w:t>542.3(1)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“SAS”</w:t>
      </w:r>
      <w:r>
        <w:rPr>
          <w:rFonts w:ascii="Times New Roman" w:hAnsi="Times New Roman"/>
          <w:b w:val="false"/>
          <w:i w:val="false"/>
          <w:color w:val="000000"/>
          <w:sz w:val="22"/>
        </w:rPr>
        <w:t> </w:t>
      </w:r>
      <w:r>
        <w:rPr>
          <w:rFonts w:ascii="Times New Roman" w:hAnsi="Times New Roman"/>
          <w:b w:val="false"/>
          <w:i w:val="false"/>
          <w:color w:val="000000"/>
          <w:sz w:val="22"/>
        </w:rPr>
        <w:t>means statements on auditing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Securities and Exchange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“SSARS”</w:t>
      </w:r>
      <w:r>
        <w:rPr>
          <w:rFonts w:ascii="Times New Roman" w:hAnsi="Times New Roman"/>
          <w:b w:val="false"/>
          <w:i w:val="false"/>
          <w:color w:val="000000"/>
          <w:sz w:val="22"/>
        </w:rPr>
        <w:t> </w:t>
      </w:r>
      <w:r>
        <w:rPr>
          <w:rFonts w:ascii="Times New Roman" w:hAnsi="Times New Roman"/>
          <w:b w:val="false"/>
          <w:i w:val="false"/>
          <w:color w:val="000000"/>
          <w:sz w:val="22"/>
        </w:rPr>
        <w:t>means the statements on standards for accounting and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0">
        <w:r>
          <w:rPr>
            <w:rStyle w:val="Hyperlink"/>
            <w:rFonts w:ascii="Times New Roman" w:hAnsi="Times New Roman"/>
            <w:b w:val="false"/>
            <w:i w:val="false"/>
            <w:color w:val="000000"/>
            <w:sz w:val="22"/>
          </w:rPr>
          <w:t>542.3(28)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equivalency”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1">
        <w:r>
          <w:rPr>
            <w:rStyle w:val="Hyperlink"/>
            <w:rFonts w:ascii="Times New Roman" w:hAnsi="Times New Roman"/>
            <w:b w:val="false"/>
            <w:i w:val="false"/>
            <w:color w:val="000000"/>
            <w:sz w:val="22"/>
          </w:rPr>
          <w:t>542.3(29)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“Year,”</w:t>
      </w:r>
      <w:r>
        <w:rPr>
          <w:rFonts w:ascii="Times New Roman" w:hAnsi="Times New Roman"/>
          <w:b w:val="false"/>
          <w:i w:val="false"/>
          <w:color w:val="000000"/>
          <w:sz w:val="22"/>
        </w:rPr>
        <w:t> </w:t>
      </w:r>
      <w:r>
        <w:rPr>
          <w:rFonts w:ascii="Times New Roman" w:hAnsi="Times New Roman"/>
          <w:b w:val="false"/>
          <w:i w:val="false"/>
          <w:color w:val="000000"/>
          <w:sz w:val="22"/>
        </w:rPr>
        <w:t>when used in the context as a time measurement of experience in accounting work, means a period of 365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2">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ch 17A, C ’73]</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emergency 5/19/94—published 6/8/94, effective 5/19/94]</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Emergency ARC 9483B, IAB 5/4/11, effective 6/1/11]</w:t>
      </w:r>
      <w:r>
        <w:rPr>
          <w:rFonts w:ascii="Times New Roman" w:hAnsi="Times New Roman"/>
          <w:b w:val="false"/>
          <w:i w:val="false"/>
          <w:color w:val="000000"/>
          <w:sz w:val="21"/>
        </w:rPr>
        <w:t>[Filed ARC 9482B</w:t>
      </w:r>
      <w:r>
        <w:rPr>
          <w:rFonts w:ascii="Times New Roman" w:hAnsi="Times New Roman"/>
          <w:b w:val="false"/>
          <w:i w:val="false"/>
          <w:color w:val="000000"/>
          <w:sz w:val="21"/>
        </w:rPr>
        <w:t xml:space="preserve"> (Notice ARC 9370B, IAB 2/23/11)</w:t>
      </w:r>
      <w:r>
        <w:rPr>
          <w:rFonts w:ascii="Times New Roman" w:hAnsi="Times New Roman"/>
          <w:b w:val="false"/>
          <w:i w:val="false"/>
          <w:color w:val="000000"/>
          <w:sz w:val="21"/>
        </w:rPr>
        <w:t>, IAB 5/4/11, effective 6/8/11]</w:t>
      </w:r>
    </w:p>
    <w:p>
      <w:pPr>
        <w:spacing w:before="0" w:after="0"/>
        <w:ind w:left="120"/>
        <w:jc w:val="center"/>
      </w:pPr>
    </w:p>
    <w:p>
      <w:pPr>
        <w:spacing w:before="0" w:after="0"/>
        <w:ind w:left="120"/>
        <w:jc w:val="center"/>
      </w:pPr>
      <w:r>
        <w:rPr>
          <w:rFonts w:ascii="Times New Roman" w:hAnsi="Times New Roman"/>
          <w:b w:val="false"/>
          <w:i w:val="false"/>
          <w:color w:val="000000"/>
          <w:sz w:val="21"/>
        </w:rPr>
        <w:t>[Filed Emergency ARC 9676B, IAB 8/10/11, effective 7/22/11]</w:t>
      </w:r>
    </w:p>
    <w:p>
      <w:pPr>
        <w:spacing w:before="0" w:after="0"/>
        <w:ind w:left="120"/>
        <w:jc w:val="center"/>
      </w:pPr>
      <w:r>
        <w:rPr>
          <w:rFonts w:ascii="Times New Roman" w:hAnsi="Times New Roman"/>
          <w:b w:val="false"/>
          <w:i w:val="false"/>
          <w:color w:val="000000"/>
          <w:sz w:val="21"/>
        </w:rPr>
        <w:t>[Filed ARC 0174C</w:t>
      </w:r>
      <w:r>
        <w:rPr>
          <w:rFonts w:ascii="Times New Roman" w:hAnsi="Times New Roman"/>
          <w:b w:val="false"/>
          <w:i w:val="false"/>
          <w:color w:val="000000"/>
          <w:sz w:val="21"/>
        </w:rPr>
        <w:t xml:space="preserve"> (Notice ARC 9980B, IAB 1/25/12)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7677C</w:t>
      </w:r>
      <w:r>
        <w:rPr>
          <w:rFonts w:ascii="Times New Roman" w:hAnsi="Times New Roman"/>
          <w:b w:val="false"/>
          <w:i w:val="false"/>
          <w:color w:val="000000"/>
          <w:sz w:val="21"/>
        </w:rPr>
        <w:t xml:space="preserve"> (Notice ARC 7384C,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6/24/26]</w:t>
      </w:r>
    </w:p>
    <w:sectPr>
      <w:footerReference r:id="rId3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3.pdf" Type="http://schemas.openxmlformats.org/officeDocument/2006/relationships/hyperlink" Id="rId5"/>
    <Relationship TargetMode="External" Target="https://www.legis.iowa.gov/docs/ico/chapter/542.3.pdf" Type="http://schemas.openxmlformats.org/officeDocument/2006/relationships/hyperlink" Id="rId6"/>
    <Relationship TargetMode="External" Target="https://www.legis.iowa.gov/docs/ico/chapter/542.3.pdf" Type="http://schemas.openxmlformats.org/officeDocument/2006/relationships/hyperlink" Id="rId7"/>
    <Relationship TargetMode="External" Target="https://www.legis.iowa.gov/docs/ico/chapter/542.3.pdf" Type="http://schemas.openxmlformats.org/officeDocument/2006/relationships/hyperlink" Id="rId8"/>
    <Relationship TargetMode="External" Target="https://www.legis.iowa.gov/docs/ico/chapter/542.3.pdf" Type="http://schemas.openxmlformats.org/officeDocument/2006/relationships/hyperlink" Id="rId9"/>
    <Relationship TargetMode="External" Target="https://www.legis.iowa.gov/docs/ico/chapter/542.3.pdf" Type="http://schemas.openxmlformats.org/officeDocument/2006/relationships/hyperlink" Id="rId10"/>
    <Relationship TargetMode="External" Target="https://www.legis.iowa.gov/docs/ico/chapter/542.3.pdf" Type="http://schemas.openxmlformats.org/officeDocument/2006/relationships/hyperlink" Id="rId11"/>
    <Relationship TargetMode="External" Target="https://www.legis.iowa.gov/docs/ico/chapter/542.3.pdf" Type="http://schemas.openxmlformats.org/officeDocument/2006/relationships/hyperlink" Id="rId12"/>
    <Relationship TargetMode="External" Target="https://www.legis.iowa.gov/docs/ico/chapter/542.7.pdf" Type="http://schemas.openxmlformats.org/officeDocument/2006/relationships/hyperlink" Id="rId13"/>
    <Relationship TargetMode="External" Target="https://www.legis.iowa.gov/docs/ico/chapter/542.8.pdf" Type="http://schemas.openxmlformats.org/officeDocument/2006/relationships/hyperlink" Id="rId14"/>
    <Relationship TargetMode="External" Target="https://www.legis.iowa.gov/docs/ico/chapter/542.3.pdf" Type="http://schemas.openxmlformats.org/officeDocument/2006/relationships/hyperlink" Id="rId15"/>
    <Relationship TargetMode="External" Target="https://www.legis.iowa.gov/docs/ico/chapter/542.3.pdf" Type="http://schemas.openxmlformats.org/officeDocument/2006/relationships/hyperlink" Id="rId16"/>
    <Relationship TargetMode="External" Target="https://www.legis.iowa.gov/docs/ico/chapter/542.3.pdf" Type="http://schemas.openxmlformats.org/officeDocument/2006/relationships/hyperlink" Id="rId17"/>
    <Relationship TargetMode="External" Target="https://www.legis.iowa.gov/docs/ico/chapter/542.3.pdf" Type="http://schemas.openxmlformats.org/officeDocument/2006/relationships/hyperlink" Id="rId18"/>
    <Relationship TargetMode="External" Target="https://www.legis.iowa.gov/docs/ico/chapter/542.3.pdf" Type="http://schemas.openxmlformats.org/officeDocument/2006/relationships/hyperlink" Id="rId19"/>
    <Relationship TargetMode="External" Target="https://www.legis.iowa.gov/docs/ico/chapter/542.3.pdf" Type="http://schemas.openxmlformats.org/officeDocument/2006/relationships/hyperlink" Id="rId20"/>
    <Relationship TargetMode="External" Target="https://www.legis.iowa.gov/docs/ico/chapter/542.3.pdf" Type="http://schemas.openxmlformats.org/officeDocument/2006/relationships/hyperlink" Id="rId21"/>
    <Relationship TargetMode="External" Target="https://www.legis.iowa.gov/docs/iac/chapter/193A.11.pdf" Type="http://schemas.openxmlformats.org/officeDocument/2006/relationships/hyperlink" Id="rId22"/>
    <Relationship TargetMode="External" Target="https://www.legis.iowa.gov/docs/iac/chapter/193A.12.pdf" Type="http://schemas.openxmlformats.org/officeDocument/2006/relationships/hyperlink" Id="rId23"/>
    <Relationship TargetMode="External" Target="https://www.legis.iowa.gov/docs/ico/chapter/542.3.pdf" Type="http://schemas.openxmlformats.org/officeDocument/2006/relationships/hyperlink" Id="rId24"/>
    <Relationship TargetMode="External" Target="https://www.legis.iowa.gov/docs/ico/chapter/542.3.pdf" Type="http://schemas.openxmlformats.org/officeDocument/2006/relationships/hyperlink" Id="rId25"/>
    <Relationship TargetMode="External" Target="https://www.legis.iowa.gov/docs/ico/chapter/542.3.pdf" Type="http://schemas.openxmlformats.org/officeDocument/2006/relationships/hyperlink" Id="rId26"/>
    <Relationship TargetMode="External" Target="https://www.legis.iowa.gov/docs/ico/chapter/542.3.pdf" Type="http://schemas.openxmlformats.org/officeDocument/2006/relationships/hyperlink" Id="rId27"/>
    <Relationship TargetMode="External" Target="https://www.legis.iowa.gov/docs/ico/chapter/542.3.pdf" Type="http://schemas.openxmlformats.org/officeDocument/2006/relationships/hyperlink" Id="rId28"/>
    <Relationship TargetMode="External" Target="https://www.legis.iowa.gov/docs/ico/chapter/542.3.pdf" Type="http://schemas.openxmlformats.org/officeDocument/2006/relationships/hyperlink" Id="rId29"/>
    <Relationship TargetMode="External" Target="https://www.legis.iowa.gov/docs/ico/chapter/542.3.pdf" Type="http://schemas.openxmlformats.org/officeDocument/2006/relationships/hyperlink" Id="rId30"/>
    <Relationship TargetMode="External" Target="https://www.legis.iowa.gov/docs/ico/chapter/542.3.pdf" Type="http://schemas.openxmlformats.org/officeDocument/2006/relationships/hyperlink" Id="rId31"/>
    <Relationship TargetMode="External" Target="https://www.legis.iowa.gov/docs/ico/chapter/542.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