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GAMES OF SKILL, CHANCE, BINGO AND RAFFLES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GENERAL PROVISIONS FOR SOCIAL AND CHARITABLE GAMBLING</w:t>
      </w:r>
    </w:p>
    <w:p>
      <w:pPr>
        <w:spacing w:before="0" w:after="0"/>
        <w:ind w:left="120"/>
        <w:jc w:val="center"/>
      </w:pPr>
      <w:r>
        <w:rPr>
          <w:rFonts w:ascii="Times New Roman" w:hAnsi="Times New Roman"/>
          <w:b w:val="false"/>
          <w:i w:val="false"/>
          <w:color w:val="000000"/>
          <w:sz w:val="20"/>
        </w:rPr>
        <w:t>[Prior to 12/17/86, Revenue Department[730], Ch 91]</w:t>
      </w:r>
    </w:p>
    <w:p>
      <w:pPr>
        <w:spacing w:before="0" w:after="0"/>
        <w:ind w:left="120"/>
        <w:jc w:val="center"/>
      </w:pPr>
      <w:r>
        <w:rPr>
          <w:rFonts w:ascii="Times New Roman" w:hAnsi="Times New Roman"/>
          <w:b w:val="false"/>
          <w:i w:val="false"/>
          <w:color w:val="000000"/>
          <w:sz w:val="20"/>
        </w:rPr>
        <w:t>[Prior to 11/18/87, Racing and Gaming Division[195]]</w:t>
      </w:r>
    </w:p>
    <w:p>
      <w:pPr>
        <w:spacing w:before="0" w:after="0"/>
        <w:ind w:left="120"/>
        <w:jc w:val="center"/>
      </w:pPr>
      <w:r>
        <w:rPr>
          <w:rFonts w:ascii="Times New Roman" w:hAnsi="Times New Roman"/>
          <w:b w:val="false"/>
          <w:i w:val="false"/>
          <w:color w:val="000000"/>
          <w:sz w:val="20"/>
        </w:rPr>
        <w:t>[Prior to 6/14/89, Racing and Gaming Division[491],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481—100.1</w:t>
      </w:r>
      <w:r>
        <w:rPr>
          <w:rFonts w:ascii="Times New Roman" w:hAnsi="Times New Roman"/>
          <w:b/>
          <w:i w:val="false"/>
          <w:color w:val="000000"/>
          <w:sz w:val="22"/>
        </w:rPr>
        <w:t xml:space="preserve">(99B)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found in Iowa Code chapter </w:t>
      </w:r>
      <w:hyperlink r:id="rId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and unless specifically defined in 481—Chapters </w:t>
      </w:r>
      <w:hyperlink r:id="rId6">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106</w:t>
        </w:r>
      </w:hyperlink>
      <w:r>
        <w:rPr>
          <w:rFonts w:ascii="Times New Roman" w:hAnsi="Times New Roman"/>
          <w:b w:val="false"/>
          <w:i w:val="false"/>
          <w:color w:val="000000"/>
          <w:sz w:val="22"/>
        </w:rPr>
        <w:t>, the following definitions apply to all social and charitable gambling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“Bingo supplies and equipment”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machine, display board, monitor, card, bingo paper, or any other implement or provision used in the conduct of the game of bingo licensed pursuant to Iowa Code chapter </w:t>
      </w:r>
      <w:hyperlink r:id="rId8">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“qualified organization” as defined in Iowa Code section </w:t>
      </w:r>
      <w:hyperlink r:id="rId9">
        <w:r>
          <w:rPr>
            <w:rStyle w:val="Hyperlink"/>
            <w:rFonts w:ascii="Times New Roman" w:hAnsi="Times New Roman"/>
            <w:b w:val="false"/>
            <w:i w:val="false"/>
            <w:color w:val="000000"/>
            <w:sz w:val="22"/>
          </w:rPr>
          <w:t>99B.1(29)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Licensure. </w:t>
      </w:r>
      <w:r>
        <w:rPr>
          <w:rFonts w:ascii="Times New Roman" w:hAnsi="Times New Roman"/>
          <w:b w:val="false"/>
          <w:i w:val="false"/>
          <w:color w:val="000000"/>
          <w:sz w:val="22"/>
        </w:rPr>
        <w:t>Gambling shall only occur upon receipt of a license issued by the department that shall be prominently displayed at the gambling location.</w:t>
      </w:r>
    </w:p>
    <w:p>
      <w:pPr>
        <w:spacing w:before="0" w:after="0"/>
        <w:ind w:left="120"/>
        <w:jc w:val="both"/>
      </w:pP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color w:val="000000"/>
          <w:sz w:val="22"/>
        </w:rPr>
        <w:t xml:space="preserve">Types of gambling licenses—QOs. </w:t>
      </w:r>
      <w:r>
        <w:rPr>
          <w:rFonts w:ascii="Times New Roman" w:hAnsi="Times New Roman"/>
          <w:b w:val="false"/>
          <w:i w:val="false"/>
          <w:color w:val="000000"/>
          <w:sz w:val="22"/>
        </w:rPr>
        <w:t>A QO may apply for the six following license types, each of which permits the activities listed. A QO with a one-year or two-year license may apply for a very large raffle license.</w:t>
      </w:r>
    </w:p>
    <w:tbl>
      <w:tblPr>
        <w:tblW w:w="0" w:type="auto"/>
        <w:tblCellSpacing w:w="0" w:type="auto"/>
        <w:tblBorders>
          <w:top w:val="none"/>
          <w:left w:val="none"/>
          <w:bottom w:val="none"/>
          <w:right w:val="none"/>
          <w:insideH w:val="none"/>
          <w:insideV w:val="none"/>
        </w:tblBorders>
        <w:tblLayout w:type="fixed"/>
      </w:tblPr>
      <w:tblGrid>
        <w:gridCol w:w="1278"/>
        <w:gridCol w:w="1279"/>
        <w:gridCol w:w="1279"/>
        <w:gridCol w:w="1279"/>
        <w:gridCol w:w="1279"/>
        <w:gridCol w:w="1279"/>
        <w:gridCol w:w="1279"/>
      </w:tblGrid>
      <w:tr>
        <w:trPr>
          <w:trHeight w:val="345" w:hRule="atLeast"/>
        </w:trPr>
        <w:tc>
          <w:tcPr>
            <w:tcW w:w="1278" w:type="dxa"/>
            <w:tcBorders>
              <w:bottom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License type/Activity type</w:t>
            </w:r>
          </w:p>
        </w:tc>
        <w:tc>
          <w:tcPr>
            <w:tcW w:w="1279" w:type="dxa"/>
            <w:tcBorders>
              <w:bottom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Two-year QO</w:t>
            </w:r>
          </w:p>
        </w:tc>
        <w:tc>
          <w:tcPr>
            <w:tcW w:w="1279" w:type="dxa"/>
            <w:tcBorders>
              <w:bottom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One-year QO</w:t>
            </w:r>
          </w:p>
        </w:tc>
        <w:tc>
          <w:tcPr>
            <w:tcW w:w="1279" w:type="dxa"/>
            <w:tcBorders>
              <w:bottom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180-day QO</w:t>
            </w:r>
          </w:p>
        </w:tc>
        <w:tc>
          <w:tcPr>
            <w:tcW w:w="1279" w:type="dxa"/>
            <w:tcBorders>
              <w:bottom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90-day QO</w:t>
            </w:r>
          </w:p>
        </w:tc>
        <w:tc>
          <w:tcPr>
            <w:tcW w:w="1279" w:type="dxa"/>
            <w:tcBorders>
              <w:bottom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14-day QO</w:t>
            </w:r>
          </w:p>
        </w:tc>
        <w:tc>
          <w:tcPr>
            <w:tcW w:w="1279" w:type="dxa"/>
            <w:tcBorders>
              <w:bottom w:val="single" w:color="000000" w:sz="8"/>
            </w:tcBorders>
            <w:tcMar>
              <w:top w:w="30" w:type="dxa"/>
              <w:left w:w="30" w:type="dxa"/>
              <w:bottom w:w="15" w:type="dxa"/>
              <w:right w:w="30" w:type="dxa"/>
            </w:tcMar>
            <w:vAlign w:val="bottom"/>
          </w:tcPr>
          <w:p>
            <w:pPr>
              <w:spacing w:before="0" w:after="0" w:line="264"/>
              <w:ind w:left="0"/>
              <w:jc w:val="left"/>
            </w:pPr>
            <w:r>
              <w:rPr>
                <w:rFonts w:ascii="Times New Roman" w:hAnsi="Times New Roman"/>
                <w:b/>
                <w:i w:val="false"/>
                <w:color w:val="000000"/>
                <w:sz w:val="14"/>
              </w:rPr>
              <w:t>Bingo at a fair or festival</w:t>
            </w:r>
          </w:p>
        </w:tc>
      </w:tr>
      <w:tr>
        <w:trPr>
          <w:trHeight w:val="825" w:hRule="atLeast"/>
        </w:trPr>
        <w:tc>
          <w:tcPr>
            <w:tcW w:w="127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Bingo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Three occasions per week; 15 occasions per month</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Two occasions</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occasion per day for length of fair or festival</w:t>
            </w:r>
          </w:p>
        </w:tc>
      </w:tr>
      <w:tr>
        <w:trPr>
          <w:trHeight w:val="510" w:hRule="atLeast"/>
        </w:trPr>
        <w:tc>
          <w:tcPr>
            <w:tcW w:w="127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Games of skill and chance</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Unlimited carnival-style games</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Unlimited carnival-style games</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r>
      <w:tr>
        <w:trPr>
          <w:trHeight w:val="510" w:hRule="atLeast"/>
        </w:trPr>
        <w:tc>
          <w:tcPr>
            <w:tcW w:w="127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Game night</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month</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month</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month</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month</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month</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r>
      <w:tr>
        <w:trPr>
          <w:trHeight w:val="510" w:hRule="atLeast"/>
        </w:trPr>
        <w:tc>
          <w:tcPr>
            <w:tcW w:w="127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Very small and small raffles</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Unlimited</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Unlimited</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Unlimited</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Unlimited</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Unlimited</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r>
      <w:tr>
        <w:trPr>
          <w:trHeight w:val="975" w:hRule="atLeast"/>
        </w:trPr>
        <w:tc>
          <w:tcPr>
            <w:tcW w:w="127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Large raffles</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year</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Eight per license period, each conducted in a different county</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year</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year</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year</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r>
      <w:tr>
        <w:trPr>
          <w:trHeight w:val="975" w:hRule="atLeast"/>
        </w:trPr>
        <w:tc>
          <w:tcPr>
            <w:tcW w:w="127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Very large raffles</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year, requires additional very large raffle license</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per calendar year, requires additional very large raffle license</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r>
      <w:tr>
        <w:trPr>
          <w:trHeight w:val="810" w:hRule="atLeast"/>
        </w:trPr>
        <w:tc>
          <w:tcPr>
            <w:tcW w:w="127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Electronic raffles</w:t>
            </w:r>
          </w:p>
        </w:tc>
        <w:tc>
          <w:tcPr>
            <w:tcW w:w="12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One small raffle per day; one large raffle per calendar year</w:t>
            </w:r>
          </w:p>
        </w:tc>
        <w:tc>
          <w:tcPr>
            <w:tcW w:w="12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c>
          <w:tcPr>
            <w:tcW w:w="127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color w:val="000000"/>
          <w:sz w:val="22"/>
        </w:rPr>
        <w:t xml:space="preserve">Other types of gambling licenses. </w:t>
      </w:r>
      <w:r>
        <w:rPr>
          <w:rFonts w:ascii="Times New Roman" w:hAnsi="Times New Roman"/>
          <w:b w:val="false"/>
          <w:i w:val="false"/>
          <w:color w:val="000000"/>
          <w:sz w:val="22"/>
        </w:rPr>
        <w:t>There are four other types of gambling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One-year license for an amusement concession.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Two-year license for social gambling in beer and liquor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Two-year license for social gambling in public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Annual license for manufacturers and distributors of bingo equipment and supplies or electronic raffle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w:t>
      </w:r>
      <w:r>
        <w:rPr>
          <w:rFonts w:ascii="Times New Roman" w:hAnsi="Times New Roman"/>
          <w:b w:val="false"/>
          <w:i w:val="false"/>
          <w:color w:val="000000"/>
          <w:sz w:val="22"/>
        </w:rPr>
        <w:t> </w:t>
      </w:r>
      <w:r>
        <w:rPr>
          <w:rFonts w:ascii="Times New Roman" w:hAnsi="Times New Roman"/>
          <w:b w:val="false"/>
          <w:i/>
          <w:color w:val="000000"/>
          <w:sz w:val="22"/>
        </w:rPr>
        <w:t xml:space="preserve">Unlicensed very small raffle. </w:t>
      </w:r>
      <w:r>
        <w:rPr>
          <w:rFonts w:ascii="Times New Roman" w:hAnsi="Times New Roman"/>
          <w:b w:val="false"/>
          <w:i w:val="false"/>
          <w:color w:val="000000"/>
          <w:sz w:val="22"/>
        </w:rPr>
        <w:t xml:space="preserve">Iowa Code section </w:t>
      </w:r>
      <w:hyperlink r:id="rId10">
        <w:r>
          <w:rPr>
            <w:rStyle w:val="Hyperlink"/>
            <w:rFonts w:ascii="Times New Roman" w:hAnsi="Times New Roman"/>
            <w:b w:val="false"/>
            <w:i w:val="false"/>
            <w:color w:val="000000"/>
            <w:sz w:val="22"/>
          </w:rPr>
          <w:t>99B.24(3)</w:t>
        </w:r>
      </w:hyperlink>
      <w:r>
        <w:rPr>
          <w:rFonts w:ascii="Times New Roman" w:hAnsi="Times New Roman"/>
          <w:b w:val="false"/>
          <w:i w:val="false"/>
          <w:color w:val="000000"/>
          <w:sz w:val="22"/>
        </w:rPr>
        <w:t xml:space="preserve"> allows one unlicensed very small raffle per calendar year for an organization that meets the definition of a QO. The QO shall obtain permission from the department to conduct this raffle.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100.2(4)</w:t>
      </w:r>
      <w:r>
        <w:rPr>
          <w:rFonts w:ascii="Times New Roman" w:hAnsi="Times New Roman"/>
          <w:b w:val="false"/>
          <w:i w:val="false"/>
          <w:color w:val="000000"/>
          <w:sz w:val="22"/>
        </w:rPr>
        <w:t> </w:t>
      </w:r>
      <w:r>
        <w:rPr>
          <w:rFonts w:ascii="Times New Roman" w:hAnsi="Times New Roman"/>
          <w:b w:val="false"/>
          <w:i/>
          <w:color w:val="000000"/>
          <w:sz w:val="22"/>
        </w:rPr>
        <w:t xml:space="preserve">Political action committees. </w:t>
      </w:r>
      <w:r>
        <w:rPr>
          <w:rFonts w:ascii="Times New Roman" w:hAnsi="Times New Roman"/>
          <w:b w:val="false"/>
          <w:i w:val="false"/>
          <w:color w:val="000000"/>
          <w:sz w:val="22"/>
        </w:rPr>
        <w:t>Political action committees are not QOs and are not eligible for gambling licenses.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481—100.3</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 xml:space="preserve">In addition to requirements for licensure found in Iowa Code chapter </w:t>
      </w:r>
      <w:hyperlink r:id="rId11">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the following standards apply to gambling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Applications may be completed online by visiting </w:t>
      </w:r>
      <w:hyperlink r:id="rId12">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xml:space="preserve"> and clicking on the link for “Social and Charitable Gambling.” A paper application may be requested from the Social and Charitable Gambling Unit, Iowa Department of Inspections, Appeals, and Licensing, 6200 Park Avenue, Des Moines, Iowa 50321; or by calling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w:t>
      </w:r>
      <w:r>
        <w:rPr>
          <w:rFonts w:ascii="Times New Roman" w:hAnsi="Times New Roman"/>
          <w:b w:val="false"/>
          <w:i w:val="false"/>
          <w:color w:val="000000"/>
          <w:sz w:val="22"/>
        </w:rPr>
        <w:t> </w:t>
      </w:r>
      <w:r>
        <w:rPr>
          <w:rFonts w:ascii="Times New Roman" w:hAnsi="Times New Roman"/>
          <w:b w:val="false"/>
          <w:i/>
          <w:color w:val="000000"/>
          <w:sz w:val="22"/>
        </w:rPr>
        <w:t xml:space="preserve">Receipt of application. </w:t>
      </w:r>
      <w:r>
        <w:rPr>
          <w:rFonts w:ascii="Times New Roman" w:hAnsi="Times New Roman"/>
          <w:b w:val="false"/>
          <w:i w:val="false"/>
          <w:color w:val="000000"/>
          <w:sz w:val="22"/>
        </w:rPr>
        <w:t>An application shall be submitted at least 30 days before the beginning date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License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QOs applying for a charitable gambling license must submit documentation to prove tax-exempt status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100.3(5)</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incorrect license. </w:t>
      </w:r>
      <w:r>
        <w:rPr>
          <w:rFonts w:ascii="Times New Roman" w:hAnsi="Times New Roman"/>
          <w:b w:val="false"/>
          <w:i w:val="false"/>
          <w:color w:val="000000"/>
          <w:sz w:val="22"/>
        </w:rPr>
        <w:t>If the applicant does not apply for the appropriate license, the license fee may be applied to the appropriate license within 30 days of notification to the applicant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100.3(6)</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submitted. </w:t>
      </w:r>
      <w:r>
        <w:rPr>
          <w:rFonts w:ascii="Times New Roman" w:hAnsi="Times New Roman"/>
          <w:b w:val="false"/>
          <w:i w:val="false"/>
          <w:color w:val="000000"/>
          <w:sz w:val="22"/>
        </w:rPr>
        <w:t>If the applicant submits an incomplete application, the application may be completed and submitted within 30 days of notification to the applicant by the department without forfeiting the fee submitted with the incomplete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100.3(7)</w:t>
      </w:r>
      <w:r>
        <w:rPr>
          <w:rFonts w:ascii="Times New Roman" w:hAnsi="Times New Roman"/>
          <w:b w:val="false"/>
          <w:i w:val="false"/>
          <w:color w:val="000000"/>
          <w:sz w:val="22"/>
        </w:rPr>
        <w:t> </w:t>
      </w:r>
      <w:r>
        <w:rPr>
          <w:rFonts w:ascii="Times New Roman" w:hAnsi="Times New Roman"/>
          <w:b w:val="false"/>
          <w:i/>
          <w:color w:val="000000"/>
          <w:sz w:val="22"/>
        </w:rPr>
        <w:t xml:space="preserve">Responsible party. </w:t>
      </w:r>
      <w:r>
        <w:rPr>
          <w:rFonts w:ascii="Times New Roman" w:hAnsi="Times New Roman"/>
          <w:b w:val="false"/>
          <w:i w:val="false"/>
          <w:color w:val="000000"/>
          <w:sz w:val="22"/>
        </w:rPr>
        <w:t>The responsible party identified on the application shall sign the application or submit the online application and be a person who is authorized to make decisions on behalf of the QO.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100.3(8)</w:t>
      </w:r>
      <w:r>
        <w:rPr>
          <w:rFonts w:ascii="Times New Roman" w:hAnsi="Times New Roman"/>
          <w:b w:val="false"/>
          <w:i w:val="false"/>
          <w:color w:val="000000"/>
          <w:sz w:val="22"/>
        </w:rPr>
        <w:t> </w:t>
      </w:r>
      <w:r>
        <w:rPr>
          <w:rFonts w:ascii="Times New Roman" w:hAnsi="Times New Roman"/>
          <w:b w:val="false"/>
          <w:i/>
          <w:color w:val="000000"/>
          <w:sz w:val="22"/>
        </w:rPr>
        <w:t xml:space="preserve">Sales tax permit. </w:t>
      </w:r>
      <w:r>
        <w:rPr>
          <w:rFonts w:ascii="Times New Roman" w:hAnsi="Times New Roman"/>
          <w:b w:val="false"/>
          <w:i w:val="false"/>
          <w:color w:val="000000"/>
          <w:sz w:val="22"/>
        </w:rPr>
        <w:t>QOs and amusement concessions licensees shall possess a sales tax permit at the time the license application is submitted. The following gambling activities are exempt from sales and local option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Gambling activities conducted by county and city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Gambling activities held by the Iowa state fair, Iowa state fair authority, or Iowa state fair foundation (organized under Iowa Code chapter </w:t>
      </w:r>
      <w:hyperlink r:id="rId13">
        <w:r>
          <w:rPr>
            <w:rStyle w:val="Hyperlink"/>
            <w:rFonts w:ascii="Times New Roman" w:hAnsi="Times New Roman"/>
            <w:b w:val="false"/>
            <w:i w:val="false"/>
            <w:color w:val="000000"/>
            <w:sz w:val="22"/>
          </w:rPr>
          <w:t>173</w:t>
        </w:r>
      </w:hyperlink>
      <w:r>
        <w:rPr>
          <w:rFonts w:ascii="Times New Roman" w:hAnsi="Times New Roman"/>
          <w:b w:val="false"/>
          <w:i w:val="false"/>
          <w:color w:val="000000"/>
          <w:sz w:val="22"/>
        </w:rPr>
        <w:t>), including gambling activities that occur outside of the annual scheduled fair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Gambling activities held by a fair (as defined in Iowa Code section </w:t>
      </w:r>
      <w:hyperlink r:id="rId14">
        <w:r>
          <w:rPr>
            <w:rStyle w:val="Hyperlink"/>
            <w:rFonts w:ascii="Times New Roman" w:hAnsi="Times New Roman"/>
            <w:b w:val="false"/>
            <w:i w:val="false"/>
            <w:color w:val="000000"/>
            <w:sz w:val="22"/>
          </w:rPr>
          <w:t>174.1(2)</w:t>
        </w:r>
      </w:hyperlink>
      <w:r>
        <w:rPr>
          <w:rFonts w:ascii="Times New Roman" w:hAnsi="Times New Roman"/>
          <w:b w:val="false"/>
          <w:i w:val="false"/>
          <w:color w:val="000000"/>
          <w:sz w:val="22"/>
        </w:rPr>
        <w:t>), including gambling activities that occur outside of scheduled fair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Raffles held by a licensed QO at a fair as defined in Iowa Code section </w:t>
      </w:r>
      <w:hyperlink r:id="rId15">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and pursuant to the requirements specified in Iowa Code section </w:t>
      </w:r>
      <w:hyperlink r:id="rId16">
        <w:r>
          <w:rPr>
            <w:rStyle w:val="Hyperlink"/>
            <w:rFonts w:ascii="Times New Roman" w:hAnsi="Times New Roman"/>
            <w:b w:val="false"/>
            <w:i w:val="false"/>
            <w:color w:val="000000"/>
            <w:sz w:val="22"/>
          </w:rPr>
          <w:t>99B.24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Raffles, whether or not they are conducted at a fair event, where the proceeds are used to provide educational scholarships by a qualifying organization representing veterans as defined in Iowa Code section </w:t>
      </w:r>
      <w:hyperlink r:id="rId17">
        <w:r>
          <w:rPr>
            <w:rStyle w:val="Hyperlink"/>
            <w:rFonts w:ascii="Times New Roman" w:hAnsi="Times New Roman"/>
            <w:b w:val="false"/>
            <w:i w:val="false"/>
            <w:color w:val="000000"/>
            <w:sz w:val="22"/>
          </w:rPr>
          <w:t>99B.27(1)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100.3(9)</w:t>
      </w:r>
      <w:r>
        <w:rPr>
          <w:rFonts w:ascii="Times New Roman" w:hAnsi="Times New Roman"/>
          <w:b w:val="false"/>
          <w:i w:val="false"/>
          <w:color w:val="000000"/>
          <w:sz w:val="22"/>
        </w:rPr>
        <w:t> </w:t>
      </w:r>
      <w:r>
        <w:rPr>
          <w:rFonts w:ascii="Times New Roman" w:hAnsi="Times New Roman"/>
          <w:b w:val="false"/>
          <w:i/>
          <w:color w:val="000000"/>
          <w:sz w:val="22"/>
        </w:rPr>
        <w:t xml:space="preserve">State tax liabilities. </w:t>
      </w:r>
      <w:r>
        <w:rPr>
          <w:rFonts w:ascii="Times New Roman" w:hAnsi="Times New Roman"/>
          <w:b w:val="false"/>
          <w:i w:val="false"/>
          <w:color w:val="000000"/>
          <w:sz w:val="22"/>
        </w:rPr>
        <w:t>The applicant must have no outstanding state tax liabilities or submit with the application a copy of a negotiated repayment plan with the department of revenue and be current in all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100.3(10)</w:t>
      </w:r>
      <w:r>
        <w:rPr>
          <w:rFonts w:ascii="Times New Roman" w:hAnsi="Times New Roman"/>
          <w:b w:val="false"/>
          <w:i w:val="false"/>
          <w:color w:val="000000"/>
          <w:sz w:val="22"/>
        </w:rPr>
        <w:t> </w:t>
      </w:r>
      <w:r>
        <w:rPr>
          <w:rFonts w:ascii="Times New Roman" w:hAnsi="Times New Roman"/>
          <w:b w:val="false"/>
          <w:i/>
          <w:color w:val="000000"/>
          <w:sz w:val="22"/>
        </w:rPr>
        <w:t xml:space="preserve">Revocation—no license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one involved in an organization with a gambling license revocation action pending will be granted a license similar to the license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one with a gambling license currently under revocation may be issued any gambling license during the period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 will not be issued if there is a current revocation of either a gambling or a retail alcohol license for the location named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100.3(11)</w:t>
      </w:r>
      <w:r>
        <w:rPr>
          <w:rFonts w:ascii="Times New Roman" w:hAnsi="Times New Roman"/>
          <w:b w:val="false"/>
          <w:i w:val="false"/>
          <w:color w:val="000000"/>
          <w:sz w:val="22"/>
        </w:rPr>
        <w:t> </w:t>
      </w:r>
      <w:r>
        <w:rPr>
          <w:rFonts w:ascii="Times New Roman" w:hAnsi="Times New Roman"/>
          <w:b w:val="false"/>
          <w:i/>
          <w:color w:val="000000"/>
          <w:sz w:val="22"/>
        </w:rPr>
        <w:t xml:space="preserve">Criminal violations. </w:t>
      </w:r>
      <w:r>
        <w:rPr>
          <w:rFonts w:ascii="Times New Roman" w:hAnsi="Times New Roman"/>
          <w:b w:val="false"/>
          <w:i w:val="false"/>
          <w:color w:val="000000"/>
          <w:sz w:val="22"/>
        </w:rPr>
        <w:t>No applicant shall have been convicted of or pled guilty to a criminal violation of Iowa gambling law. No applicant shall have been convicted of a felony, federal or state, within five years of the date of the application. For felony convictions more than five years prior to the date of the application, citizenship rights must have been restored in order for the application to be considered. The applicant may have no more than two convictions of or guilty pleas to serious or aggravated misdemeanors in the last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100.3(12)</w:t>
      </w:r>
      <w:r>
        <w:rPr>
          <w:rFonts w:ascii="Times New Roman" w:hAnsi="Times New Roman"/>
          <w:b w:val="false"/>
          <w:i w:val="false"/>
          <w:color w:val="000000"/>
          <w:sz w:val="22"/>
        </w:rPr>
        <w:t> </w:t>
      </w:r>
      <w:r>
        <w:rPr>
          <w:rFonts w:ascii="Times New Roman" w:hAnsi="Times New Roman"/>
          <w:b w:val="false"/>
          <w:i/>
          <w:color w:val="000000"/>
          <w:sz w:val="22"/>
        </w:rPr>
        <w:t xml:space="preserve">Violations of gambling law or Iowa alcoholic beverage control Act (Iowa Code chapter 123).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applicant shall have been convicted of or pled guilty to a criminal violation of Iowa gambling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retail alcohol license shall have been suspended within the last 12 months or revoked because of a conviction of or guilty plea to a criminal violation of the Iowa alcoholic beverage control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481—100.5</w:t>
      </w:r>
      <w:r>
        <w:rPr>
          <w:rFonts w:ascii="Times New Roman" w:hAnsi="Times New Roman"/>
          <w:b/>
          <w:i w:val="false"/>
          <w:color w:val="000000"/>
          <w:sz w:val="22"/>
        </w:rPr>
        <w:t xml:space="preserve">(99B)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If a check intended to pay for any license provided for under Iowa Code chapter </w:t>
      </w:r>
      <w:hyperlink r:id="rId18">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is not honored for payment by the bank on which the check is drafted, the department will notify the applicant of the need to provide sufficient payment before the license will be issued. An additional fee of $25 will be assessed for each dishonored check.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481—100.6</w:t>
      </w:r>
      <w:r>
        <w:rPr>
          <w:rFonts w:ascii="Times New Roman" w:hAnsi="Times New Roman"/>
          <w:b/>
          <w:i w:val="false"/>
          <w:color w:val="000000"/>
          <w:sz w:val="22"/>
        </w:rPr>
        <w:t xml:space="preserve">(99B) </w:t>
      </w:r>
      <w:r>
        <w:rPr>
          <w:rFonts w:ascii="Times New Roman" w:hAnsi="Times New Roman"/>
          <w:b/>
          <w:i w:val="false"/>
          <w:color w:val="000000"/>
          <w:sz w:val="22"/>
        </w:rPr>
        <w:t xml:space="preserve">Payment systems. </w:t>
      </w:r>
      <w:r>
        <w:rPr>
          <w:rFonts w:ascii="Times New Roman" w:hAnsi="Times New Roman"/>
          <w:b w:val="false"/>
          <w:i w:val="false"/>
          <w:color w:val="000000"/>
          <w:sz w:val="22"/>
        </w:rPr>
        <w:t xml:space="preserve">Payment systems are authorized by Iowa Code section </w:t>
      </w:r>
      <w:hyperlink r:id="rId19">
        <w:r>
          <w:rPr>
            <w:rStyle w:val="Hyperlink"/>
            <w:rFonts w:ascii="Times New Roman" w:hAnsi="Times New Roman"/>
            <w:b w:val="false"/>
            <w:i w:val="false"/>
            <w:color w:val="000000"/>
            <w:sz w:val="22"/>
          </w:rPr>
          <w:t>99B.5</w:t>
        </w:r>
      </w:hyperlink>
      <w:r>
        <w:rPr>
          <w:rFonts w:ascii="Times New Roman" w:hAnsi="Times New Roman"/>
          <w:b w:val="false"/>
          <w:i w:val="false"/>
          <w:color w:val="000000"/>
          <w:sz w:val="22"/>
        </w:rPr>
        <w:t xml:space="preserve"> and shall comply with all applicable federal and state laws regarding payment card processing and the protection of personal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481—100.7</w:t>
      </w:r>
      <w:r>
        <w:rPr>
          <w:rFonts w:ascii="Times New Roman" w:hAnsi="Times New Roman"/>
          <w:b/>
          <w:i w:val="false"/>
          <w:color w:val="000000"/>
          <w:sz w:val="22"/>
        </w:rPr>
        <w:t xml:space="preserve">(99B) </w:t>
      </w:r>
      <w:r>
        <w:rPr>
          <w:rFonts w:ascii="Times New Roman" w:hAnsi="Times New Roman"/>
          <w:b/>
          <w:i w:val="false"/>
          <w:color w:val="000000"/>
          <w:sz w:val="22"/>
        </w:rPr>
        <w:t xml:space="preserve">Participation—game of skill, game of chance or raffle. </w:t>
      </w:r>
      <w:r>
        <w:rPr>
          <w:rFonts w:ascii="Times New Roman" w:hAnsi="Times New Roman"/>
          <w:b w:val="false"/>
          <w:i w:val="false"/>
          <w:color w:val="000000"/>
          <w:sz w:val="22"/>
        </w:rPr>
        <w:t>No one who conducts a game of skill, game of chance, or raffle may participate in the game or raffle. An individual “conducts” a raffle if the individual directly participates in the mechanism of selection of the prize, such as drawing the winning entry. An individual “conducts” a game of skill or game of chance if the person is a dealer or a croupier or otherwise operates the game.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481—100.8</w:t>
      </w:r>
      <w:r>
        <w:rPr>
          <w:rFonts w:ascii="Times New Roman" w:hAnsi="Times New Roman"/>
          <w:b/>
          <w:i w:val="false"/>
          <w:color w:val="000000"/>
          <w:sz w:val="22"/>
        </w:rPr>
        <w:t xml:space="preserve">(99B) </w:t>
      </w:r>
      <w:r>
        <w:rPr>
          <w:rFonts w:ascii="Times New Roman" w:hAnsi="Times New Roman"/>
          <w:b/>
          <w:i w:val="false"/>
          <w:color w:val="000000"/>
          <w:sz w:val="22"/>
        </w:rPr>
        <w:t xml:space="preserve">Posted rules—games other than bingo and raffles. </w:t>
      </w:r>
      <w:r>
        <w:rPr>
          <w:rFonts w:ascii="Times New Roman" w:hAnsi="Times New Roman"/>
          <w:b w:val="false"/>
          <w:i w:val="false"/>
          <w:color w:val="000000"/>
          <w:sz w:val="22"/>
        </w:rPr>
        <w:t>Rules established by the licensee shall be posted on a sign near the front of the playing area in large, easily readable print or made available electronically at each player’s location before the player forfeits money to play the game and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mailing address of the licensee;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Prices to play;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How winners will be determined;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Prize(s) or categories of prizes for each game;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Description of each game, including the cost per game. For example, a game might be one opportunity to shoot and make one basket or three opportunities to shoot and make one basket.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481—100.9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481—100.10</w:t>
      </w:r>
      <w:r>
        <w:rPr>
          <w:rFonts w:ascii="Times New Roman" w:hAnsi="Times New Roman"/>
          <w:b/>
          <w:i w:val="false"/>
          <w:color w:val="000000"/>
          <w:sz w:val="22"/>
        </w:rPr>
        <w:t xml:space="preserve">(99B) </w:t>
      </w:r>
      <w:r>
        <w:rPr>
          <w:rFonts w:ascii="Times New Roman" w:hAnsi="Times New Roman"/>
          <w:b/>
          <w:i w:val="false"/>
          <w:color w:val="000000"/>
          <w:sz w:val="22"/>
        </w:rPr>
        <w:t xml:space="preserve">Rules—raffles.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100.10(1)</w:t>
      </w:r>
      <w:r>
        <w:rPr>
          <w:rFonts w:ascii="Times New Roman" w:hAnsi="Times New Roman"/>
          <w:b w:val="false"/>
          <w:i w:val="false"/>
          <w:color w:val="000000"/>
          <w:sz w:val="22"/>
        </w:rPr>
        <w:t> </w:t>
      </w:r>
      <w:r>
        <w:rPr>
          <w:rFonts w:ascii="Times New Roman" w:hAnsi="Times New Roman"/>
          <w:b w:val="false"/>
          <w:i w:val="false"/>
          <w:color w:val="000000"/>
          <w:sz w:val="22"/>
        </w:rPr>
        <w:t>A copy of the rules for a raffle shall be available upon request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Methods of awarding a prize, including the date the prize is won;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Prices to play, including discounts;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a sufficient number of entries must be sold in order for the raffle to occur, or if an alternate prize is offered when sales of entries are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100.10(2)</w:t>
      </w:r>
      <w:r>
        <w:rPr>
          <w:rFonts w:ascii="Times New Roman" w:hAnsi="Times New Roman"/>
          <w:b w:val="false"/>
          <w:i w:val="false"/>
          <w:color w:val="000000"/>
          <w:sz w:val="22"/>
        </w:rPr>
        <w:t> </w:t>
      </w:r>
      <w:r>
        <w:rPr>
          <w:rFonts w:ascii="Times New Roman" w:hAnsi="Times New Roman"/>
          <w:b w:val="false"/>
          <w:i w:val="false"/>
          <w:color w:val="000000"/>
          <w:sz w:val="22"/>
        </w:rPr>
        <w:t>A licensed QO may also include in its rules items such as the policy for nonpayment of prizes.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 xml:space="preserve">; </w:t>
      </w:r>
      <w:r>
        <w:rPr>
          <w:rFonts w:ascii="Times New Roman" w:hAnsi="Times New Roman"/>
          <w:b/>
          <w:i w:val="false"/>
          <w:color w:val="000000"/>
          <w:sz w:val="16"/>
        </w:rPr>
        <w:t>ARC 0593D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481—100.11</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Prizes are governed by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100.11(1)</w:t>
      </w:r>
      <w:r>
        <w:rPr>
          <w:rFonts w:ascii="Times New Roman" w:hAnsi="Times New Roman"/>
          <w:b w:val="false"/>
          <w:i w:val="false"/>
          <w:color w:val="000000"/>
          <w:sz w:val="22"/>
        </w:rPr>
        <w:t> </w:t>
      </w:r>
      <w:r>
        <w:rPr>
          <w:rFonts w:ascii="Times New Roman" w:hAnsi="Times New Roman"/>
          <w:b w:val="false"/>
          <w:i/>
          <w:color w:val="000000"/>
          <w:sz w:val="22"/>
        </w:rPr>
        <w:t xml:space="preserve">Amusement concession licensees. </w:t>
      </w:r>
      <w:r>
        <w:rPr>
          <w:rFonts w:ascii="Times New Roman" w:hAnsi="Times New Roman"/>
          <w:b w:val="false"/>
          <w:i w:val="false"/>
          <w:color w:val="000000"/>
          <w:sz w:val="22"/>
        </w:rPr>
        <w:t>The maximum prize limit for games of skill and games of chance is $950 in merchandise.</w:t>
      </w:r>
    </w:p>
    <w:p>
      <w:pPr>
        <w:spacing w:before="0" w:after="0"/>
        <w:ind w:left="120"/>
        <w:jc w:val="both"/>
      </w:pPr>
      <w:r>
        <w:rPr>
          <w:rFonts w:ascii="Times New Roman" w:hAnsi="Times New Roman"/>
          <w:b/>
          <w:i w:val="false"/>
          <w:color w:val="000000"/>
          <w:sz w:val="22"/>
        </w:rPr>
        <w:t>100.11(2)</w:t>
      </w:r>
      <w:r>
        <w:rPr>
          <w:rFonts w:ascii="Times New Roman" w:hAnsi="Times New Roman"/>
          <w:b w:val="false"/>
          <w:i w:val="false"/>
          <w:color w:val="000000"/>
          <w:sz w:val="22"/>
        </w:rPr>
        <w:t> </w:t>
      </w:r>
      <w:r>
        <w:rPr>
          <w:rFonts w:ascii="Times New Roman" w:hAnsi="Times New Roman"/>
          <w:b w:val="false"/>
          <w:i/>
          <w:color w:val="000000"/>
          <w:sz w:val="22"/>
        </w:rPr>
        <w:t xml:space="preserve">QOs. </w:t>
      </w:r>
      <w:r>
        <w:rPr>
          <w:rFonts w:ascii="Times New Roman" w:hAnsi="Times New Roman"/>
          <w:b w:val="false"/>
          <w:i w:val="false"/>
          <w:color w:val="000000"/>
          <w:sz w:val="22"/>
        </w:rPr>
        <w:t>The following table provides prize limits for types of gambling conducted by QOs.</w:t>
      </w:r>
    </w:p>
    <w:tbl>
      <w:tblPr>
        <w:tblW w:w="0" w:type="auto"/>
        <w:tblCellSpacing w:w="0" w:type="auto"/>
        <w:tblBorders>
          <w:top w:val="none"/>
          <w:left w:val="none"/>
          <w:bottom w:val="none"/>
          <w:right w:val="none"/>
          <w:insideH w:val="none"/>
          <w:insideV w:val="none"/>
        </w:tblBorders>
        <w:tblLayout w:type="fixed"/>
      </w:tblPr>
      <w:tblGrid>
        <w:gridCol w:w="3840"/>
        <w:gridCol w:w="7680"/>
      </w:tblGrid>
      <w:tr>
        <w:trPr>
          <w:trHeight w:val="195" w:hRule="atLeast"/>
        </w:trPr>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Type of gambling</w:t>
            </w:r>
          </w:p>
        </w:tc>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Prize limits</w:t>
            </w:r>
          </w:p>
        </w:tc>
      </w:tr>
      <w:tr>
        <w:trPr>
          <w:trHeight w:val="195" w:hRule="atLeast"/>
        </w:trPr>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Games of skill and games of chance</w:t>
            </w:r>
          </w:p>
        </w:tc>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 in merchandise</w:t>
            </w:r>
          </w:p>
        </w:tc>
      </w:tr>
      <w:tr>
        <w:trPr>
          <w:trHeight w:val="360" w:hRule="atLeast"/>
        </w:trPr>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Very small raffle</w:t>
            </w:r>
          </w:p>
        </w:tc>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Cumulative value of cash prizes is $1,000 or less; or purchased merchandise is $1,000 or less; or donated merchandise is $5,000 or less</w:t>
            </w:r>
          </w:p>
        </w:tc>
      </w:tr>
      <w:tr>
        <w:trPr>
          <w:trHeight w:val="195" w:hRule="atLeast"/>
        </w:trPr>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Small raffle</w:t>
            </w:r>
          </w:p>
        </w:tc>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Cumulative value of all cash and prizes is more than $1,000 but not more than $10,000</w:t>
            </w:r>
          </w:p>
        </w:tc>
      </w:tr>
      <w:tr>
        <w:trPr>
          <w:trHeight w:val="195" w:hRule="atLeast"/>
        </w:trPr>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Large raffle</w:t>
            </w:r>
          </w:p>
        </w:tc>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Cumulative value of cash and prizes is more than $10,000 but not more than $100,000</w:t>
            </w:r>
          </w:p>
        </w:tc>
      </w:tr>
      <w:tr>
        <w:trPr>
          <w:trHeight w:val="360" w:hRule="atLeast"/>
        </w:trPr>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Very large raffle</w:t>
            </w:r>
          </w:p>
        </w:tc>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Cumulative value of cash and prizes is more than $100,000 but not more than $200,000; or the prize is real property</w:t>
            </w:r>
          </w:p>
        </w:tc>
      </w:tr>
      <w:tr>
        <w:trPr>
          <w:trHeight w:val="195" w:hRule="atLeast"/>
        </w:trPr>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Single bingo game</w:t>
            </w:r>
          </w:p>
        </w:tc>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Up to $250 cash or merchandise</w:t>
            </w:r>
          </w:p>
        </w:tc>
      </w:tr>
      <w:tr>
        <w:trPr>
          <w:trHeight w:val="345" w:hRule="atLeast"/>
        </w:trPr>
        <w:tc>
          <w:tcPr>
            <w:tcW w:w="384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Bingo jackpot</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$1,000 cash or merchandise maximum on first jackpot in 24-hour period; $2,500 cash or merchandise maximum on second jackpot in 24-hour period (see Iowa Code section </w:t>
            </w:r>
            <w:hyperlink r:id="rId20">
              <w:r>
                <w:rPr>
                  <w:rStyle w:val="Hyperlink"/>
                  <w:rFonts w:ascii="Times New Roman" w:hAnsi="Times New Roman"/>
                  <w:b w:val="false"/>
                  <w:i w:val="false"/>
                  <w:color w:val="000000"/>
                  <w:sz w:val="14"/>
                </w:rPr>
                <w:t>99B.21(2)</w:t>
              </w:r>
            </w:hyperlink>
            <w:r>
              <w:rPr>
                <w:rFonts w:ascii="Times New Roman" w:hAnsi="Times New Roman"/>
                <w:b w:val="false"/>
                <w:i/>
                <w:color w:val="000000"/>
                <w:sz w:val="14"/>
              </w:rPr>
              <w:t>“d”</w:t>
            </w:r>
            <w:r>
              <w:rPr>
                <w:rFonts w:ascii="Times New Roman" w:hAnsi="Times New Roman"/>
                <w:b w:val="false"/>
                <w:i w:val="false"/>
                <w:color w:val="000000"/>
                <w:sz w:val="14"/>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100.11(3)</w:t>
      </w:r>
      <w:r>
        <w:rPr>
          <w:rFonts w:ascii="Times New Roman" w:hAnsi="Times New Roman"/>
          <w:b w:val="false"/>
          <w:i w:val="false"/>
          <w:color w:val="000000"/>
          <w:sz w:val="22"/>
        </w:rPr>
        <w:t> </w:t>
      </w:r>
      <w:r>
        <w:rPr>
          <w:rFonts w:ascii="Times New Roman" w:hAnsi="Times New Roman"/>
          <w:b w:val="false"/>
          <w:i/>
          <w:color w:val="000000"/>
          <w:sz w:val="22"/>
        </w:rPr>
        <w:t xml:space="preserve">Game night. </w:t>
      </w:r>
      <w:r>
        <w:rPr>
          <w:rFonts w:ascii="Times New Roman" w:hAnsi="Times New Roman"/>
          <w:b w:val="false"/>
          <w:i w:val="false"/>
          <w:color w:val="000000"/>
          <w:sz w:val="22"/>
        </w:rPr>
        <w:t>An individual shall not spend more than $250 for entrance fees and wagers. Cash and merchandise may be awarded in an aggregate amount not to exceed $10,000. No participant shall win more than a total of $5,000.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481—100.12</w:t>
      </w:r>
      <w:r>
        <w:rPr>
          <w:rFonts w:ascii="Times New Roman" w:hAnsi="Times New Roman"/>
          <w:b/>
          <w:i w:val="false"/>
          <w:color w:val="000000"/>
          <w:sz w:val="22"/>
        </w:rPr>
        <w:t xml:space="preserve">(99B) </w:t>
      </w:r>
      <w:r>
        <w:rPr>
          <w:rFonts w:ascii="Times New Roman" w:hAnsi="Times New Roman"/>
          <w:b/>
          <w:i w:val="false"/>
          <w:color w:val="000000"/>
          <w:sz w:val="22"/>
        </w:rPr>
        <w:t xml:space="preserve">Games of chance—prohibited games. </w:t>
      </w:r>
      <w:r>
        <w:rPr>
          <w:rFonts w:ascii="Times New Roman" w:hAnsi="Times New Roman"/>
          <w:b w:val="false"/>
          <w:i w:val="false"/>
          <w:color w:val="000000"/>
          <w:sz w:val="22"/>
        </w:rPr>
        <w:t xml:space="preserve">Slot machines and pull-tabs are unlawful for all licenses issued under Iowa Code chapter </w:t>
      </w:r>
      <w:hyperlink r:id="rId21">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Other than during a game night, games in the following list are unlawful: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Punchboard,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Pushcard,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Craps,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Chuck-a-luck,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Roulette,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Klondike,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Blackjack,</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Baccarat,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Equality, or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Three-card monte.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481—100.13</w:t>
      </w:r>
      <w:r>
        <w:rPr>
          <w:rFonts w:ascii="Times New Roman" w:hAnsi="Times New Roman"/>
          <w:b/>
          <w:i w:val="false"/>
          <w:color w:val="000000"/>
          <w:sz w:val="22"/>
        </w:rPr>
        <w:t xml:space="preserve">(99B)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In addition to requirements found in Iowa Code section </w:t>
      </w:r>
      <w:hyperlink r:id="rId22">
        <w:r>
          <w:rPr>
            <w:rStyle w:val="Hyperlink"/>
            <w:rFonts w:ascii="Times New Roman" w:hAnsi="Times New Roman"/>
            <w:b w:val="false"/>
            <w:i w:val="false"/>
            <w:color w:val="000000"/>
            <w:sz w:val="22"/>
          </w:rPr>
          <w:t>99B.16</w:t>
        </w:r>
      </w:hyperlink>
      <w:r>
        <w:rPr>
          <w:rFonts w:ascii="Times New Roman" w:hAnsi="Times New Roman"/>
          <w:b w:val="false"/>
          <w:i w:val="false"/>
          <w:color w:val="000000"/>
          <w:sz w:val="22"/>
        </w:rPr>
        <w:t>, the following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Disbursement journal. </w:t>
      </w:r>
      <w:r>
        <w:rPr>
          <w:rFonts w:ascii="Times New Roman" w:hAnsi="Times New Roman"/>
          <w:b w:val="false"/>
          <w:i w:val="false"/>
          <w:color w:val="000000"/>
          <w:sz w:val="22"/>
        </w:rPr>
        <w:t>Records of expenses and dedicated and distributed money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expenditure, the name of the payee, a description of the purpose of payment, the amount of payment, and the method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for expenditure of dedicated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documentation—time requirements. </w:t>
      </w:r>
      <w:r>
        <w:rPr>
          <w:rFonts w:ascii="Times New Roman" w:hAnsi="Times New Roman"/>
          <w:b w:val="false"/>
          <w:i w:val="false"/>
          <w:color w:val="000000"/>
          <w:sz w:val="22"/>
        </w:rPr>
        <w:t>Supporting documentation such as invoices or bills shall be kept for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481—100.14</w:t>
      </w:r>
      <w:r>
        <w:rPr>
          <w:rFonts w:ascii="Times New Roman" w:hAnsi="Times New Roman"/>
          <w:b/>
          <w:i w:val="false"/>
          <w:color w:val="000000"/>
          <w:sz w:val="22"/>
        </w:rPr>
        <w:t xml:space="preserve">(99B) </w:t>
      </w:r>
      <w:r>
        <w:rPr>
          <w:rFonts w:ascii="Times New Roman" w:hAnsi="Times New Roman"/>
          <w:b/>
          <w:i w:val="false"/>
          <w:color w:val="000000"/>
          <w:sz w:val="22"/>
        </w:rPr>
        <w:t xml:space="preserve">Reports. </w:t>
      </w:r>
      <w:r>
        <w:rPr>
          <w:rFonts w:ascii="Times New Roman" w:hAnsi="Times New Roman"/>
          <w:b w:val="false"/>
          <w:i w:val="false"/>
          <w:color w:val="000000"/>
          <w:sz w:val="22"/>
        </w:rPr>
        <w:t xml:space="preserve">The requirements are set forth in Iowa Code section </w:t>
      </w:r>
      <w:hyperlink r:id="rId23">
        <w:r>
          <w:rPr>
            <w:rStyle w:val="Hyperlink"/>
            <w:rFonts w:ascii="Times New Roman" w:hAnsi="Times New Roman"/>
            <w:b w:val="false"/>
            <w:i w:val="false"/>
            <w:color w:val="000000"/>
            <w:sz w:val="22"/>
          </w:rPr>
          <w:t>99B.16</w:t>
        </w:r>
      </w:hyperlink>
      <w:r>
        <w:rPr>
          <w:rFonts w:ascii="Times New Roman" w:hAnsi="Times New Roman"/>
          <w:b w:val="false"/>
          <w:i w:val="false"/>
          <w:color w:val="000000"/>
          <w:sz w:val="22"/>
        </w:rPr>
        <w:t xml:space="preserve"> and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val="false"/>
          <w:color w:val="000000"/>
          <w:sz w:val="22"/>
        </w:rPr>
        <w:t>A report will be submitted even if no gambling activity occurred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may be completed online by visiting </w:t>
      </w:r>
      <w:hyperlink r:id="rId24">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xml:space="preserve"> and clicking on the link for “Social and Charitable Gambling.” A paper version of the annual gambling report may be obtained from the Social and Charitable Gambling Unit, Iowa Department of Inspections, Appeals, and Licensing, 6200 Park Avenue, Des Moines, Iowa 50321; or by telephone at 515.281.6848.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100.14(3)</w:t>
      </w:r>
      <w:r>
        <w:rPr>
          <w:rFonts w:ascii="Times New Roman" w:hAnsi="Times New Roman"/>
          <w:b w:val="false"/>
          <w:i w:val="false"/>
          <w:color w:val="000000"/>
          <w:sz w:val="22"/>
        </w:rPr>
        <w:t> </w:t>
      </w:r>
      <w:r>
        <w:rPr>
          <w:rFonts w:ascii="Times New Roman" w:hAnsi="Times New Roman"/>
          <w:b w:val="false"/>
          <w:i w:val="false"/>
          <w:color w:val="000000"/>
          <w:sz w:val="22"/>
        </w:rPr>
        <w:t>When the due date is on Saturday, Sunday, or a legal holiday, the report is due the next business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481—100.15</w:t>
      </w:r>
      <w:r>
        <w:rPr>
          <w:rFonts w:ascii="Times New Roman" w:hAnsi="Times New Roman"/>
          <w:b/>
          <w:i w:val="false"/>
          <w:color w:val="000000"/>
          <w:sz w:val="22"/>
        </w:rPr>
        <w:t xml:space="preserve">(10A,17A,99B)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Any decision of the department may be appealed in accordance with procedures set out in </w:t>
      </w:r>
      <w:hyperlink r:id="rId25">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and Iowa Code chapter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When an appeal is received, the status of the license is governed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100.15(1)</w:t>
      </w:r>
      <w:r>
        <w:rPr>
          <w:rFonts w:ascii="Times New Roman" w:hAnsi="Times New Roman"/>
          <w:b w:val="false"/>
          <w:i w:val="false"/>
          <w:color w:val="000000"/>
          <w:sz w:val="22"/>
        </w:rPr>
        <w:t> </w:t>
      </w:r>
      <w:r>
        <w:rPr>
          <w:rFonts w:ascii="Times New Roman" w:hAnsi="Times New Roman"/>
          <w:b w:val="false"/>
          <w:i/>
          <w:color w:val="000000"/>
          <w:sz w:val="22"/>
        </w:rPr>
        <w:t xml:space="preserve">Denial of untimely or insufficient renewal application. </w:t>
      </w:r>
      <w:r>
        <w:rPr>
          <w:rFonts w:ascii="Times New Roman" w:hAnsi="Times New Roman"/>
          <w:b w:val="false"/>
          <w:i w:val="false"/>
          <w:color w:val="000000"/>
          <w:sz w:val="22"/>
        </w:rPr>
        <w:t>If a renewal application is not timely or sufficient, a license may not be issued until a final decision is issued and all appeal rights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100.15(2)</w:t>
      </w:r>
      <w:r>
        <w:rPr>
          <w:rFonts w:ascii="Times New Roman" w:hAnsi="Times New Roman"/>
          <w:b w:val="false"/>
          <w:i w:val="false"/>
          <w:color w:val="000000"/>
          <w:sz w:val="22"/>
        </w:rPr>
        <w:t> </w:t>
      </w:r>
      <w:r>
        <w:rPr>
          <w:rFonts w:ascii="Times New Roman" w:hAnsi="Times New Roman"/>
          <w:b w:val="false"/>
          <w:i/>
          <w:color w:val="000000"/>
          <w:sz w:val="22"/>
        </w:rPr>
        <w:t xml:space="preserve">Denial of timely and sufficient renewal application. </w:t>
      </w:r>
      <w:r>
        <w:rPr>
          <w:rFonts w:ascii="Times New Roman" w:hAnsi="Times New Roman"/>
          <w:b w:val="false"/>
          <w:i w:val="false"/>
          <w:color w:val="000000"/>
          <w:sz w:val="22"/>
        </w:rPr>
        <w:t>If a renewal application is timely and sufficient but is denied by the department, a license remains effective until a final decision is issued and all appeal rights have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100.15(3)</w:t>
      </w:r>
      <w:r>
        <w:rPr>
          <w:rFonts w:ascii="Times New Roman" w:hAnsi="Times New Roman"/>
          <w:b w:val="false"/>
          <w:i w:val="false"/>
          <w:color w:val="000000"/>
          <w:sz w:val="22"/>
        </w:rPr>
        <w:t> </w:t>
      </w:r>
      <w:r>
        <w:rPr>
          <w:rFonts w:ascii="Times New Roman" w:hAnsi="Times New Roman"/>
          <w:b w:val="false"/>
          <w:i/>
          <w:color w:val="000000"/>
          <w:sz w:val="22"/>
        </w:rPr>
        <w:t xml:space="preserve">Denial of new application. </w:t>
      </w:r>
      <w:r>
        <w:rPr>
          <w:rFonts w:ascii="Times New Roman" w:hAnsi="Times New Roman"/>
          <w:b w:val="false"/>
          <w:i w:val="false"/>
          <w:color w:val="000000"/>
          <w:sz w:val="22"/>
        </w:rPr>
        <w:t>If a new application is denied, no license may be issued until a final decision is issued and all appeal rights have been exhausted.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481—100.16</w:t>
      </w:r>
      <w:r>
        <w:rPr>
          <w:rFonts w:ascii="Times New Roman" w:hAnsi="Times New Roman"/>
          <w:b/>
          <w:i w:val="false"/>
          <w:color w:val="000000"/>
          <w:sz w:val="22"/>
        </w:rPr>
        <w:t xml:space="preserve">(99B) </w:t>
      </w:r>
      <w:r>
        <w:rPr>
          <w:rFonts w:ascii="Times New Roman" w:hAnsi="Times New Roman"/>
          <w:b/>
          <w:i w:val="false"/>
          <w:color w:val="000000"/>
          <w:sz w:val="22"/>
        </w:rPr>
        <w:t xml:space="preserve">Raffles. </w:t>
      </w:r>
      <w:r>
        <w:rPr>
          <w:rFonts w:ascii="Times New Roman" w:hAnsi="Times New Roman"/>
          <w:b w:val="false"/>
          <w:i w:val="false"/>
          <w:color w:val="000000"/>
          <w:sz w:val="22"/>
        </w:rPr>
        <w:t>The following apply to all raffles, including electronic raffles.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The license must be in effect before promotions for the raffle can begin. The gambling event begins when the first entry is sold and ends when winning numbers are drawn. If an organization obtains a temporary license to conduct a raffle, the entirety of the raffle, including promotion, sale of entries and drawing, must fall within the time period for the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Raffle entries—sales. </w:t>
      </w:r>
      <w:r>
        <w:rPr>
          <w:rFonts w:ascii="Times New Roman" w:hAnsi="Times New Roman"/>
          <w:b w:val="false"/>
          <w:i w:val="false"/>
          <w:color w:val="000000"/>
          <w:sz w:val="22"/>
        </w:rPr>
        <w:t>Any price may be charged for a raffle entry, and the price, including any discounts, shall be the same for every purchaser. Raffle entries shall not be purchased by credit card nor be sold outside the state of Iowa. Organizations shall comply with United States Postal Service regulations restricting the sale of raffle entries through the mail. The purchaser of a raffle entry shall be provided the location, date, and time of the corresponding raffle drawing at the time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100.16(3)</w:t>
      </w:r>
      <w:r>
        <w:rPr>
          <w:rFonts w:ascii="Times New Roman" w:hAnsi="Times New Roman"/>
          <w:b w:val="false"/>
          <w:i w:val="false"/>
          <w:color w:val="000000"/>
          <w:sz w:val="22"/>
        </w:rPr>
        <w:t> </w:t>
      </w:r>
      <w:r>
        <w:rPr>
          <w:rFonts w:ascii="Times New Roman" w:hAnsi="Times New Roman"/>
          <w:b w:val="false"/>
          <w:i/>
          <w:color w:val="000000"/>
          <w:sz w:val="22"/>
        </w:rPr>
        <w:t xml:space="preserve">Raffle entries—discount. </w:t>
      </w:r>
      <w:r>
        <w:rPr>
          <w:rFonts w:ascii="Times New Roman" w:hAnsi="Times New Roman"/>
          <w:b w:val="false"/>
          <w:i w:val="false"/>
          <w:color w:val="000000"/>
          <w:sz w:val="22"/>
        </w:rPr>
        <w:t>A licensee may offer raffle entries for sale at a discounted rate if the discount is applied in a nondiscriminatory manner. The amount paid for entries shall not be determined by any variable characteristic, such as height, weight, or wingspan. The discount must be available to all persons throughout the duration of the raffle and posted on all promotional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100.16(4)</w:t>
      </w:r>
      <w:r>
        <w:rPr>
          <w:rFonts w:ascii="Times New Roman" w:hAnsi="Times New Roman"/>
          <w:b w:val="false"/>
          <w:i w:val="false"/>
          <w:color w:val="000000"/>
          <w:sz w:val="22"/>
        </w:rPr>
        <w:t> </w:t>
      </w:r>
      <w:r>
        <w:rPr>
          <w:rFonts w:ascii="Times New Roman" w:hAnsi="Times New Roman"/>
          <w:b w:val="false"/>
          <w:i/>
          <w:color w:val="000000"/>
          <w:sz w:val="22"/>
        </w:rPr>
        <w:t xml:space="preserve">Winners. </w:t>
      </w:r>
      <w:r>
        <w:rPr>
          <w:rFonts w:ascii="Times New Roman" w:hAnsi="Times New Roman"/>
          <w:b w:val="false"/>
          <w:i w:val="false"/>
          <w:color w:val="000000"/>
          <w:sz w:val="22"/>
        </w:rPr>
        <w:t>The drawing of the winning entry shall be done in a manner that allows the purchasers to observe the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raffle shall clearly describe the date the prize will be considered to be won. If no specific winning date is specified, the prize will be considered to be won on the date of the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by which the prize shall be claimed will be no fewer than 14 days following the notification of the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Notification will be considered to be as soon as practical so long as it is within one year of the prize being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prize is not claimed, the licensed QO may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draw until a winner claims the prize. Each drawing will allow the time period specified in paragraph </w:t>
      </w:r>
      <w:hyperlink r:id="rId27">
        <w:r>
          <w:rPr>
            <w:rStyle w:val="Hyperlink"/>
            <w:rFonts w:ascii="Times New Roman" w:hAnsi="Times New Roman"/>
            <w:b w:val="false"/>
            <w:i w:val="false"/>
            <w:color w:val="000000"/>
            <w:sz w:val="22"/>
          </w:rPr>
          <w:t>100.16(4)</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claiming the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Donate the unclaimed prize to another QO to be used for an educational, civic, public, charitable, patriotic, or religious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100.16(5)</w:t>
      </w:r>
      <w:r>
        <w:rPr>
          <w:rFonts w:ascii="Times New Roman" w:hAnsi="Times New Roman"/>
          <w:b w:val="false"/>
          <w:i w:val="false"/>
          <w:color w:val="000000"/>
          <w:sz w:val="22"/>
        </w:rPr>
        <w:t> </w:t>
      </w:r>
      <w:r>
        <w:rPr>
          <w:rFonts w:ascii="Times New Roman" w:hAnsi="Times New Roman"/>
          <w:b w:val="false"/>
          <w:i/>
          <w:color w:val="000000"/>
          <w:sz w:val="22"/>
        </w:rPr>
        <w:t xml:space="preserve">Prizes. </w:t>
      </w:r>
      <w:r>
        <w:rPr>
          <w:rFonts w:ascii="Times New Roman" w:hAnsi="Times New Roman"/>
          <w:b w:val="false"/>
          <w:i w:val="false"/>
          <w:color w:val="000000"/>
          <w:sz w:val="22"/>
        </w:rPr>
        <w:t>If a prize is merchandise, its value shall be determined by the purchase price paid by the organization or donor. The prize may be a single item or several items.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 xml:space="preserve">; </w:t>
      </w:r>
      <w:r>
        <w:rPr>
          <w:rFonts w:ascii="Times New Roman" w:hAnsi="Times New Roman"/>
          <w:b/>
          <w:i w:val="false"/>
          <w:color w:val="000000"/>
          <w:sz w:val="16"/>
        </w:rPr>
        <w:t>ARC 0593D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481—100.17</w:t>
      </w:r>
      <w:r>
        <w:rPr>
          <w:rFonts w:ascii="Times New Roman" w:hAnsi="Times New Roman"/>
          <w:b/>
          <w:i w:val="false"/>
          <w:color w:val="000000"/>
          <w:sz w:val="22"/>
        </w:rPr>
        <w:t xml:space="preserve">(99B) </w:t>
      </w:r>
      <w:r>
        <w:rPr>
          <w:rFonts w:ascii="Times New Roman" w:hAnsi="Times New Roman"/>
          <w:b/>
          <w:i w:val="false"/>
          <w:color w:val="000000"/>
          <w:sz w:val="22"/>
        </w:rPr>
        <w:t xml:space="preserve">Expenses. </w:t>
      </w:r>
      <w:r>
        <w:rPr>
          <w:rFonts w:ascii="Times New Roman" w:hAnsi="Times New Roman"/>
          <w:b w:val="false"/>
          <w:i w:val="false"/>
          <w:color w:val="000000"/>
          <w:sz w:val="22"/>
        </w:rPr>
        <w:t xml:space="preserve">Requirements are set forth in Iowa Code section </w:t>
      </w:r>
      <w:hyperlink r:id="rId28">
        <w:r>
          <w:rPr>
            <w:rStyle w:val="Hyperlink"/>
            <w:rFonts w:ascii="Times New Roman" w:hAnsi="Times New Roman"/>
            <w:b w:val="false"/>
            <w:i w:val="false"/>
            <w:color w:val="000000"/>
            <w:sz w:val="22"/>
          </w:rPr>
          <w:t>99B.14(1)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100.17(1)</w:t>
      </w:r>
      <w:r>
        <w:rPr>
          <w:rFonts w:ascii="Times New Roman" w:hAnsi="Times New Roman"/>
          <w:b w:val="false"/>
          <w:i w:val="false"/>
          <w:color w:val="000000"/>
          <w:sz w:val="22"/>
        </w:rPr>
        <w:t> </w:t>
      </w:r>
      <w:r>
        <w:rPr>
          <w:rFonts w:ascii="Times New Roman" w:hAnsi="Times New Roman"/>
          <w:b w:val="false"/>
          <w:i/>
          <w:color w:val="000000"/>
          <w:sz w:val="22"/>
        </w:rPr>
        <w:t xml:space="preserve">Proof of expense. </w:t>
      </w:r>
      <w:r>
        <w:rPr>
          <w:rFonts w:ascii="Times New Roman" w:hAnsi="Times New Roman"/>
          <w:b w:val="false"/>
          <w:i w:val="false"/>
          <w:color w:val="000000"/>
          <w:sz w:val="22"/>
        </w:rPr>
        <w:t>No expense item shall be allowed without a proper receipt, paid invoice, or canceled check or be paid from an outside source. The burden of proof is on the licensee to show that all expenses were incurred exclusively and directly as a result of the gambling activity. An expense will not be considered reasonable if the amount charged significantly exceeds the prevailing rate or average retail cost of the item or service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100.17(2)</w:t>
      </w:r>
      <w:r>
        <w:rPr>
          <w:rFonts w:ascii="Times New Roman" w:hAnsi="Times New Roman"/>
          <w:b w:val="false"/>
          <w:i w:val="false"/>
          <w:color w:val="000000"/>
          <w:sz w:val="22"/>
        </w:rPr>
        <w:t> </w:t>
      </w:r>
      <w:r>
        <w:rPr>
          <w:rFonts w:ascii="Times New Roman" w:hAnsi="Times New Roman"/>
          <w:b w:val="false"/>
          <w:i/>
          <w:color w:val="000000"/>
          <w:sz w:val="22"/>
        </w:rPr>
        <w:t xml:space="preserve">Allowed expenses. </w:t>
      </w:r>
      <w:r>
        <w:rPr>
          <w:rFonts w:ascii="Times New Roman" w:hAnsi="Times New Roman"/>
          <w:b w:val="false"/>
          <w:i w:val="false"/>
          <w:color w:val="000000"/>
          <w:sz w:val="22"/>
        </w:rPr>
        <w:t>Expenses allowed within the 40 percent limit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Rent of building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Taxes (other than state and local sales tax paid on gross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Promotion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Major equipment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Overhead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Worker compensation;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expenses incurred exclusively and directly as a result of the gambling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481—100.18</w:t>
      </w:r>
      <w:r>
        <w:rPr>
          <w:rFonts w:ascii="Times New Roman" w:hAnsi="Times New Roman"/>
          <w:b/>
          <w:i w:val="false"/>
          <w:color w:val="000000"/>
          <w:sz w:val="22"/>
        </w:rPr>
        <w:t xml:space="preserve">(99B) </w:t>
      </w:r>
      <w:r>
        <w:rPr>
          <w:rFonts w:ascii="Times New Roman" w:hAnsi="Times New Roman"/>
          <w:b/>
          <w:i w:val="false"/>
          <w:color w:val="000000"/>
          <w:sz w:val="22"/>
        </w:rPr>
        <w:t xml:space="preserve">Net receipts. </w:t>
      </w:r>
      <w:r>
        <w:rPr>
          <w:rFonts w:ascii="Times New Roman" w:hAnsi="Times New Roman"/>
          <w:b w:val="false"/>
          <w:i w:val="false"/>
          <w:color w:val="000000"/>
          <w:sz w:val="22"/>
        </w:rPr>
        <w:t xml:space="preserve">Requirements are set forth in Iowa Code section </w:t>
      </w:r>
      <w:hyperlink r:id="rId29">
        <w:r>
          <w:rPr>
            <w:rStyle w:val="Hyperlink"/>
            <w:rFonts w:ascii="Times New Roman" w:hAnsi="Times New Roman"/>
            <w:b w:val="false"/>
            <w:i w:val="false"/>
            <w:color w:val="000000"/>
            <w:sz w:val="22"/>
          </w:rPr>
          <w:t>99B.14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100.18(1)</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examples illustrate methods to determine net receipts, allowable expenses, and the amount requested to be dedicated and distributed.</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Example 1. </w:t>
      </w:r>
      <w:r>
        <w:rPr>
          <w:rFonts w:ascii="Times New Roman" w:hAnsi="Times New Roman"/>
          <w:b w:val="false"/>
          <w:i w:val="false"/>
          <w:color w:val="000000"/>
          <w:sz w:val="22"/>
        </w:rPr>
        <w:t>When sales tax is not included in gross receipts, sales tax need not be deducted to arrive at net receipts.</w:t>
      </w:r>
    </w:p>
    <w:tbl>
      <w:tblPr>
        <w:tblW w:w="0" w:type="auto"/>
        <w:tblCellSpacing w:w="0" w:type="auto"/>
        <w:tblBorders>
          <w:top w:val="none"/>
          <w:left w:val="none"/>
          <w:bottom w:val="none"/>
          <w:right w:val="none"/>
          <w:insideH w:val="none"/>
          <w:insideV w:val="none"/>
        </w:tblBorders>
        <w:tblLayout w:type="fixed"/>
      </w:tblPr>
      <w:tblGrid>
        <w:gridCol w:w="7680"/>
        <w:gridCol w:w="1920"/>
      </w:tblGrid>
      <w:tr>
        <w:trPr>
          <w:trHeight w:val="195" w:hRule="atLeast"/>
        </w:trPr>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Gross receipts (excluding sales tax)</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95" w:hRule="atLeast"/>
        </w:trPr>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Amount awarded as prizes</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w:t>
            </w:r>
          </w:p>
        </w:tc>
      </w:tr>
      <w:tr>
        <w:trPr>
          <w:trHeight w:val="195" w:hRule="atLeast"/>
        </w:trPr>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Net receipts</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$80,000</w:t>
            </w:r>
          </w:p>
        </w:tc>
      </w:tr>
      <w:tr>
        <w:trPr>
          <w:trHeight w:val="195" w:hRule="atLeast"/>
        </w:trPr>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Minimum dedicated and distributed (60% of net receipts)</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$48,000</w:t>
            </w:r>
          </w:p>
        </w:tc>
      </w:tr>
      <w:tr>
        <w:trPr>
          <w:trHeight w:val="195" w:hRule="atLeast"/>
        </w:trPr>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Maximum expenses (40% of net receipts)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$32,000</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Example 2. </w:t>
      </w:r>
      <w:r>
        <w:rPr>
          <w:rFonts w:ascii="Times New Roman" w:hAnsi="Times New Roman"/>
          <w:b w:val="false"/>
          <w:i w:val="false"/>
          <w:color w:val="000000"/>
          <w:sz w:val="22"/>
        </w:rPr>
        <w:t>When sales tax is included in gross receipts, it is deducted to arrive at net receipts.</w:t>
      </w:r>
    </w:p>
    <w:tbl>
      <w:tblPr>
        <w:tblW w:w="0" w:type="auto"/>
        <w:tblCellSpacing w:w="0" w:type="auto"/>
        <w:tblBorders>
          <w:top w:val="none"/>
          <w:left w:val="none"/>
          <w:bottom w:val="none"/>
          <w:right w:val="none"/>
          <w:insideH w:val="none"/>
          <w:insideV w:val="none"/>
        </w:tblBorders>
        <w:tblLayout w:type="fixed"/>
      </w:tblPr>
      <w:tblGrid>
        <w:gridCol w:w="7680"/>
        <w:gridCol w:w="1920"/>
      </w:tblGrid>
      <w:tr>
        <w:trPr>
          <w:trHeight w:val="195" w:hRule="atLeast"/>
        </w:trPr>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Gross receipts (including sales tax)</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$107,000</w:t>
            </w:r>
          </w:p>
        </w:tc>
      </w:tr>
      <w:tr>
        <w:trPr>
          <w:trHeight w:val="195" w:hRule="atLeast"/>
        </w:trPr>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Amount awarded as prizes</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w:t>
            </w:r>
          </w:p>
        </w:tc>
      </w:tr>
      <w:tr>
        <w:trPr>
          <w:trHeight w:val="195" w:hRule="atLeast"/>
        </w:trPr>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Sales tax (7%)</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$7,000</w:t>
            </w:r>
          </w:p>
        </w:tc>
      </w:tr>
      <w:tr>
        <w:trPr>
          <w:trHeight w:val="195" w:hRule="atLeast"/>
        </w:trPr>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Net receipts</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$80,000</w:t>
            </w:r>
          </w:p>
        </w:tc>
      </w:tr>
      <w:tr>
        <w:trPr>
          <w:trHeight w:val="195" w:hRule="atLeast"/>
        </w:trPr>
        <w:tc>
          <w:tcPr>
            <w:tcW w:w="76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Minimum dedicated and distributed (60% of net receipts)</w:t>
            </w:r>
          </w:p>
        </w:tc>
        <w:tc>
          <w:tcPr>
            <w:tcW w:w="19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$48,000</w:t>
            </w:r>
          </w:p>
        </w:tc>
      </w:tr>
      <w:tr>
        <w:trPr>
          <w:trHeight w:val="195" w:hRule="atLeast"/>
        </w:trPr>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Maximum expenses (40% of net receipts)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100.18(2)</w:t>
      </w:r>
      <w:r>
        <w:rPr>
          <w:rFonts w:ascii="Times New Roman" w:hAnsi="Times New Roman"/>
          <w:b w:val="false"/>
          <w:i w:val="false"/>
          <w:color w:val="000000"/>
          <w:sz w:val="22"/>
        </w:rPr>
        <w:t> </w:t>
      </w:r>
      <w:r>
        <w:rPr>
          <w:rFonts w:ascii="Times New Roman" w:hAnsi="Times New Roman"/>
          <w:b w:val="false"/>
          <w:i/>
          <w:color w:val="000000"/>
          <w:sz w:val="22"/>
        </w:rPr>
        <w:t xml:space="preserve">Time for distribution. </w:t>
      </w:r>
      <w:r>
        <w:rPr>
          <w:rFonts w:ascii="Times New Roman" w:hAnsi="Times New Roman"/>
          <w:b w:val="false"/>
          <w:i w:val="false"/>
          <w:color w:val="000000"/>
          <w:sz w:val="22"/>
        </w:rPr>
        <w:t xml:space="preserve">Net receipts received during the calendar year shall be distributed no later than 30 days following the end of each calendar year, except as pursuant to Iowa Code section </w:t>
      </w:r>
      <w:hyperlink r:id="rId30">
        <w:r>
          <w:rPr>
            <w:rStyle w:val="Hyperlink"/>
            <w:rFonts w:ascii="Times New Roman" w:hAnsi="Times New Roman"/>
            <w:b w:val="false"/>
            <w:i w:val="false"/>
            <w:color w:val="000000"/>
            <w:sz w:val="22"/>
          </w:rPr>
          <w:t>99B.14(2)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481—100.19</w:t>
      </w:r>
      <w:r>
        <w:rPr>
          <w:rFonts w:ascii="Times New Roman" w:hAnsi="Times New Roman"/>
          <w:b/>
          <w:i w:val="false"/>
          <w:color w:val="000000"/>
          <w:sz w:val="22"/>
        </w:rPr>
        <w:t xml:space="preserve">(99B) </w:t>
      </w:r>
      <w:r>
        <w:rPr>
          <w:rFonts w:ascii="Times New Roman" w:hAnsi="Times New Roman"/>
          <w:b/>
          <w:i w:val="false"/>
          <w:color w:val="000000"/>
          <w:sz w:val="22"/>
        </w:rPr>
        <w:t xml:space="preserve">Licensure of manufacturers and distributors of bingo equipment and supplies and electronic raffle systems. </w:t>
      </w:r>
      <w:r>
        <w:rPr>
          <w:rFonts w:ascii="Times New Roman" w:hAnsi="Times New Roman"/>
          <w:b w:val="false"/>
          <w:i w:val="false"/>
          <w:color w:val="000000"/>
          <w:sz w:val="22"/>
        </w:rPr>
        <w:t xml:space="preserve">Requirements are set forth in Iowa Code section </w:t>
      </w:r>
      <w:hyperlink r:id="rId31">
        <w:r>
          <w:rPr>
            <w:rStyle w:val="Hyperlink"/>
            <w:rFonts w:ascii="Times New Roman" w:hAnsi="Times New Roman"/>
            <w:b w:val="false"/>
            <w:i w:val="false"/>
            <w:color w:val="000000"/>
            <w:sz w:val="22"/>
          </w:rPr>
          <w:t>99B.32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applicant shall comply with the requirements of Iowa Code chapter </w:t>
      </w:r>
      <w:hyperlink r:id="rId32">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administrative rules of the department, and other applicable state or federal laws. The department may require detailed information concerning the business structure and operation of the applicant,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owners, officers, and board members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names under which the applicant will conduct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100.19(3)</w:t>
      </w:r>
      <w:r>
        <w:rPr>
          <w:rFonts w:ascii="Times New Roman" w:hAnsi="Times New Roman"/>
          <w:b w:val="false"/>
          <w:i w:val="false"/>
          <w:color w:val="000000"/>
          <w:sz w:val="22"/>
        </w:rPr>
        <w:t> </w:t>
      </w:r>
      <w:r>
        <w:rPr>
          <w:rFonts w:ascii="Times New Roman" w:hAnsi="Times New Roman"/>
          <w:b w:val="false"/>
          <w:i/>
          <w:color w:val="000000"/>
          <w:sz w:val="22"/>
        </w:rPr>
        <w:t xml:space="preserve">Manufacturers and distributors of electronic raffle systems—additional requirements. </w:t>
      </w:r>
      <w:r>
        <w:rPr>
          <w:rFonts w:ascii="Times New Roman" w:hAnsi="Times New Roman"/>
          <w:b w:val="false"/>
          <w:i w:val="false"/>
          <w:color w:val="000000"/>
          <w:sz w:val="22"/>
        </w:rPr>
        <w:t>A manufacturer or distributor of electronic raffle systems must meet the following additional requirements in order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of certifying entity by the department. </w:t>
      </w:r>
      <w:r>
        <w:rPr>
          <w:rFonts w:ascii="Times New Roman" w:hAnsi="Times New Roman"/>
          <w:b w:val="false"/>
          <w:i w:val="false"/>
          <w:color w:val="000000"/>
          <w:sz w:val="22"/>
        </w:rPr>
        <w:t>In addition to licensure, manufacturers and distributors of electronic raffle systems will be certified by an entity approved by the department. “Approved by the department” means that the entity has submitted its qualifications in writing to the director for review and has received approval in writing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Certification—requirements. </w:t>
      </w:r>
      <w:r>
        <w:rPr>
          <w:rFonts w:ascii="Times New Roman" w:hAnsi="Times New Roman"/>
          <w:b w:val="false"/>
          <w:i w:val="false"/>
          <w:color w:val="000000"/>
          <w:sz w:val="22"/>
        </w:rPr>
        <w:t xml:space="preserve">Entities approved by the department to certify manufacturers and distributors of electronic raffle systems will ensure all electronic raffle systems meet the requirements of Iowa Code section </w:t>
      </w:r>
      <w:hyperlink r:id="rId33">
        <w:r>
          <w:rPr>
            <w:rStyle w:val="Hyperlink"/>
            <w:rFonts w:ascii="Times New Roman" w:hAnsi="Times New Roman"/>
            <w:b w:val="false"/>
            <w:i w:val="false"/>
            <w:color w:val="000000"/>
            <w:sz w:val="22"/>
          </w:rPr>
          <w:t>99B.25</w:t>
        </w:r>
      </w:hyperlink>
      <w:r>
        <w:rPr>
          <w:rFonts w:ascii="Times New Roman" w:hAnsi="Times New Roman"/>
          <w:b w:val="false"/>
          <w:i w:val="false"/>
          <w:color w:val="000000"/>
          <w:sz w:val="22"/>
        </w:rPr>
        <w:t xml:space="preserve"> and rule </w:t>
      </w:r>
      <w:hyperlink r:id="rId34">
        <w:r>
          <w:rPr>
            <w:rStyle w:val="Hyperlink"/>
            <w:rFonts w:ascii="Times New Roman" w:hAnsi="Times New Roman"/>
            <w:b w:val="false"/>
            <w:i w:val="false"/>
            <w:color w:val="000000"/>
            <w:sz w:val="22"/>
          </w:rPr>
          <w:t>481—100.20</w:t>
        </w:r>
      </w:hyperlink>
      <w:r>
        <w:rPr>
          <w:rFonts w:ascii="Times New Roman" w:hAnsi="Times New Roman"/>
          <w:b w:val="false"/>
          <w:i w:val="false"/>
          <w:color w:val="000000"/>
          <w:sz w:val="22"/>
        </w:rPr>
        <w:t>(99B).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Review of contracts—notification. </w:t>
      </w:r>
      <w:r>
        <w:rPr>
          <w:rFonts w:ascii="Times New Roman" w:hAnsi="Times New Roman"/>
          <w:b w:val="false"/>
          <w:i w:val="false"/>
          <w:color w:val="000000"/>
          <w:sz w:val="22"/>
        </w:rPr>
        <w:t>The applicant will submit to the department for review at the time of application the base contract intended for use with QOs. For the duration of the license, the licensee will notify the department each time the licensee enters into a contract with a QO by submitting in writing the name of the QO and the duration of the contract. The required notification will allow the department to verify that the QO holds a valid two-year QO license, which permits the conduct of an electronic raffle.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481—100.20</w:t>
      </w:r>
      <w:r>
        <w:rPr>
          <w:rFonts w:ascii="Times New Roman" w:hAnsi="Times New Roman"/>
          <w:b/>
          <w:i w:val="false"/>
          <w:color w:val="000000"/>
          <w:sz w:val="22"/>
        </w:rPr>
        <w:t xml:space="preserve">(99B) </w:t>
      </w:r>
      <w:r>
        <w:rPr>
          <w:rFonts w:ascii="Times New Roman" w:hAnsi="Times New Roman"/>
          <w:b/>
          <w:i w:val="false"/>
          <w:color w:val="000000"/>
          <w:sz w:val="22"/>
        </w:rPr>
        <w:t xml:space="preserve">Bingo supplies and equipment. </w:t>
      </w:r>
      <w:r>
        <w:rPr>
          <w:rFonts w:ascii="Times New Roman" w:hAnsi="Times New Roman"/>
          <w:b w:val="false"/>
          <w:i w:val="false"/>
          <w:color w:val="000000"/>
          <w:sz w:val="22"/>
        </w:rPr>
        <w:t>Products sold within this state to a gambling license holder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100.20(1)</w:t>
      </w:r>
      <w:r>
        <w:rPr>
          <w:rFonts w:ascii="Times New Roman" w:hAnsi="Times New Roman"/>
          <w:b w:val="false"/>
          <w:i w:val="false"/>
          <w:color w:val="000000"/>
          <w:sz w:val="22"/>
        </w:rPr>
        <w:t> </w:t>
      </w:r>
      <w:r>
        <w:rPr>
          <w:rFonts w:ascii="Times New Roman" w:hAnsi="Times New Roman"/>
          <w:b w:val="false"/>
          <w:i w:val="false"/>
          <w:color w:val="000000"/>
          <w:sz w:val="22"/>
        </w:rPr>
        <w:t>Products will be manufactured and sold by an Iowa-licensed manufacturer or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100.20(2)</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Products will be supplies and equipment used in connection with the game of bingo as defined in Iowa Code section </w:t>
      </w:r>
      <w:hyperlink r:id="rId35">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The following are noninclusive characteristics of the game of bingo to which products must conform: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Cards or playing faces will have spaces marked in horizontal and vertical rows. Each space will be designated by number, letter, symbol, or picture or a combination of numbers, letters, symbols, or pictures.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Balls or objects used to select spaces that are to be covered on the card or playing face will bear numbers, letters, symbols, or pictures or a combination of numbers, letters, symbols, or pictures corresponding to the system used for designating the spaces.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bingo machine will contain a receptacle where objects or balls are placed and from which the objects or balls representing the space to be covered are selected. The selection of the balls or objects by the bingo machine will be by chance and may be either manual or mechanical.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100.20(3)</w:t>
      </w:r>
      <w:r>
        <w:rPr>
          <w:rFonts w:ascii="Times New Roman" w:hAnsi="Times New Roman"/>
          <w:b w:val="false"/>
          <w:i w:val="false"/>
          <w:color w:val="000000"/>
          <w:sz w:val="22"/>
        </w:rPr>
        <w:t> </w:t>
      </w:r>
      <w:r>
        <w:rPr>
          <w:rFonts w:ascii="Times New Roman" w:hAnsi="Times New Roman"/>
          <w:b w:val="false"/>
          <w:i w:val="false"/>
          <w:color w:val="000000"/>
          <w:sz w:val="22"/>
        </w:rPr>
        <w:t>Bingo cards sold in Iowa will have the manufacturer’s name imprinted on the cards.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481—100.21</w:t>
      </w:r>
      <w:r>
        <w:rPr>
          <w:rFonts w:ascii="Times New Roman" w:hAnsi="Times New Roman"/>
          <w:b/>
          <w:i w:val="false"/>
          <w:color w:val="000000"/>
          <w:sz w:val="22"/>
        </w:rPr>
        <w:t xml:space="preserve">(99B) </w:t>
      </w:r>
      <w:r>
        <w:rPr>
          <w:rFonts w:ascii="Times New Roman" w:hAnsi="Times New Roman"/>
          <w:b/>
          <w:i w:val="false"/>
          <w:color w:val="000000"/>
          <w:sz w:val="22"/>
        </w:rPr>
        <w:t xml:space="preserve">Electronic raffles. </w:t>
      </w:r>
      <w:r>
        <w:rPr>
          <w:rFonts w:ascii="Times New Roman" w:hAnsi="Times New Roman"/>
          <w:b w:val="false"/>
          <w:i w:val="false"/>
          <w:color w:val="000000"/>
          <w:sz w:val="22"/>
        </w:rPr>
        <w:t xml:space="preserve">In addition to the requirements found in Iowa Code section </w:t>
      </w:r>
      <w:hyperlink r:id="rId36">
        <w:r>
          <w:rPr>
            <w:rStyle w:val="Hyperlink"/>
            <w:rFonts w:ascii="Times New Roman" w:hAnsi="Times New Roman"/>
            <w:b w:val="false"/>
            <w:i w:val="false"/>
            <w:color w:val="000000"/>
            <w:sz w:val="22"/>
          </w:rPr>
          <w:t>99B.25</w:t>
        </w:r>
      </w:hyperlink>
      <w:r>
        <w:rPr>
          <w:rFonts w:ascii="Times New Roman" w:hAnsi="Times New Roman"/>
          <w:b w:val="false"/>
          <w:i w:val="false"/>
          <w:color w:val="000000"/>
          <w:sz w:val="22"/>
        </w:rPr>
        <w:t>, the following requirements apply to electronic raffles: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100.21(2)</w:t>
      </w:r>
      <w:r>
        <w:rPr>
          <w:rFonts w:ascii="Times New Roman" w:hAnsi="Times New Roman"/>
          <w:b w:val="false"/>
          <w:i w:val="false"/>
          <w:color w:val="000000"/>
          <w:sz w:val="22"/>
        </w:rPr>
        <w:t> </w:t>
      </w:r>
      <w:r>
        <w:rPr>
          <w:rFonts w:ascii="Times New Roman" w:hAnsi="Times New Roman"/>
          <w:b w:val="false"/>
          <w:i w:val="false"/>
          <w:color w:val="000000"/>
          <w:sz w:val="22"/>
        </w:rPr>
        <w:t>All entries will be included in the drawing.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100.21(3)</w:t>
      </w:r>
      <w:r>
        <w:rPr>
          <w:rFonts w:ascii="Times New Roman" w:hAnsi="Times New Roman"/>
          <w:b w:val="false"/>
          <w:i w:val="false"/>
          <w:color w:val="000000"/>
          <w:sz w:val="22"/>
        </w:rPr>
        <w:t> </w:t>
      </w:r>
      <w:r>
        <w:rPr>
          <w:rFonts w:ascii="Times New Roman" w:hAnsi="Times New Roman"/>
          <w:b w:val="false"/>
          <w:i w:val="false"/>
          <w:color w:val="000000"/>
          <w:sz w:val="22"/>
        </w:rPr>
        <w:t>The sale of raffle entries and the drawing of the winning entry will take place within the same calendar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12/10/76, Notice 10/6/76—published 12/29/76, effective 2/2/77]</w:t>
      </w:r>
    </w:p>
    <w:p>
      <w:pPr>
        <w:spacing w:before="0" w:after="0"/>
        <w:ind w:left="120"/>
        <w:jc w:val="center"/>
      </w:pPr>
      <w:r>
        <w:rPr>
          <w:rFonts w:ascii="Times New Roman" w:hAnsi="Times New Roman"/>
          <w:b w:val="false"/>
          <w:i w:val="false"/>
          <w:color w:val="000000"/>
          <w:sz w:val="21"/>
        </w:rPr>
        <w:t>[Filed emergency 4/28/78—published 5/17/78, effective 4/28/78]</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21"/>
        </w:rPr>
        <w:t>[Filed emergency 6/26/81—published 7/22/81, effective 7/1/81 to 12/31/81]</w:t>
      </w:r>
    </w:p>
    <w:p>
      <w:pPr>
        <w:spacing w:before="0" w:after="0"/>
        <w:ind w:left="120"/>
        <w:jc w:val="center"/>
      </w:pP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12/12/76, Notice 10/6/76—published 12/29/76, effective 2/2/77]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11/21/80, Notice 10/15/80—published 12/10/80, effective 1/14/81]</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3/13/81, Notice 2/4/81—published 4/1/81, effective 5/6/81]</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8/28/81, Notice 7/22/81—published 9/16/81, effective 10/21/81]</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9/9/83, Notice 8/3/83—published 9/28/83, effective 11/2/83]</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6/29/84—published 7/18/84, effective 7/1/84]</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8/24/84, Notice 7/18/84—published 9/12/84, effective 10/17/84]</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9/20/85, Notice 7/17/85—published 10/9/85, effective 11/13/85]</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4/24/87, Notice 3/11/87—published 5/20/87, effective 6/24/87]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emergency 5/26/89—published 6/14/89, effective 7/1/89]</w:t>
      </w:r>
    </w:p>
    <w:p>
      <w:pPr>
        <w:spacing w:before="0" w:after="0"/>
        <w:ind w:left="120"/>
        <w:jc w:val="center"/>
      </w:pPr>
      <w:r>
        <w:rPr>
          <w:rFonts w:ascii="Times New Roman" w:hAnsi="Times New Roman"/>
          <w:b w:val="false"/>
          <w:i w:val="false"/>
          <w:color w:val="000000"/>
          <w:sz w:val="10"/>
        </w:rPr>
        <w:t>2</w:t>
      </w:r>
      <w:r>
        <w:rPr>
          <w:rFonts w:ascii="Times New Roman" w:hAnsi="Times New Roman"/>
          <w:b w:val="false"/>
          <w:i w:val="false"/>
          <w:color w:val="000000"/>
          <w:sz w:val="21"/>
        </w:rPr>
        <w:t>[Filed 12/10/76, Notice 10/6/76—published 12/29/76, effective 2/2/77]</w:t>
      </w:r>
    </w:p>
    <w:p>
      <w:pPr>
        <w:spacing w:before="0" w:after="0"/>
        <w:ind w:left="120"/>
        <w:jc w:val="center"/>
      </w:pPr>
      <w:r>
        <w:rPr>
          <w:rFonts w:ascii="Times New Roman" w:hAnsi="Times New Roman"/>
          <w:b w:val="false"/>
          <w:i w:val="false"/>
          <w:color w:val="000000"/>
          <w:sz w:val="21"/>
        </w:rPr>
        <w:t>[Filed 8/15/90, Notice 4/18/90—published 9/5/90, effective 10/10/90]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emergency 8/27/91—published 9/18/91, effective 8/27/91]</w:t>
      </w:r>
    </w:p>
    <w:p>
      <w:pPr>
        <w:spacing w:before="0" w:after="0"/>
        <w:ind w:left="120"/>
        <w:jc w:val="center"/>
      </w:pPr>
      <w:r>
        <w:rPr>
          <w:rFonts w:ascii="Times New Roman" w:hAnsi="Times New Roman"/>
          <w:b w:val="false"/>
          <w:i w:val="false"/>
          <w:color w:val="000000"/>
          <w:sz w:val="21"/>
        </w:rPr>
        <w:t>[Filed emergency 7/1/92—published 7/22/92, effective 7/1/92]</w:t>
      </w:r>
    </w:p>
    <w:p>
      <w:pPr>
        <w:spacing w:before="0" w:after="0"/>
        <w:ind w:left="120"/>
        <w:jc w:val="center"/>
      </w:pPr>
      <w:r>
        <w:rPr>
          <w:rFonts w:ascii="Times New Roman" w:hAnsi="Times New Roman"/>
          <w:b w:val="false"/>
          <w:i w:val="false"/>
          <w:color w:val="000000"/>
          <w:sz w:val="21"/>
        </w:rPr>
        <w:t>[Filed emergency 7/19/95—published 8/16/95, effective 7/19/95]</w:t>
      </w:r>
    </w:p>
    <w:p>
      <w:pPr>
        <w:spacing w:before="0" w:after="0"/>
        <w:ind w:left="120"/>
        <w:jc w:val="center"/>
      </w:pPr>
      <w:r>
        <w:rPr>
          <w:rFonts w:ascii="Times New Roman" w:hAnsi="Times New Roman"/>
          <w:b w:val="false"/>
          <w:i w:val="false"/>
          <w:color w:val="000000"/>
          <w:sz w:val="21"/>
        </w:rPr>
        <w:t>[Filed 9/19/95, Notice 8/16/95—published 10/11/95, effective 11/15/95]</w:t>
      </w:r>
    </w:p>
    <w:p>
      <w:pPr>
        <w:spacing w:before="0" w:after="0"/>
        <w:ind w:left="120"/>
        <w:jc w:val="center"/>
      </w:pPr>
      <w:r>
        <w:rPr>
          <w:rFonts w:ascii="Times New Roman" w:hAnsi="Times New Roman"/>
          <w:b w:val="false"/>
          <w:i w:val="false"/>
          <w:color w:val="000000"/>
          <w:sz w:val="21"/>
        </w:rPr>
        <w:t>[Filed 10/12/01, Notice 8/22/01—published 10/31/01, effective 12/5/01]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emergency 7/5/02—published 7/24/02, effective 7/5/02]</w:t>
      </w:r>
    </w:p>
    <w:p>
      <w:pPr>
        <w:spacing w:before="0" w:after="0"/>
        <w:ind w:left="120"/>
        <w:jc w:val="center"/>
      </w:pPr>
      <w:r>
        <w:rPr>
          <w:rFonts w:ascii="Times New Roman" w:hAnsi="Times New Roman"/>
          <w:b w:val="false"/>
          <w:i w:val="false"/>
          <w:color w:val="000000"/>
          <w:sz w:val="21"/>
        </w:rPr>
        <w:t>[Filed 8/30/02, Notice 7/24/02—published 9/18/02, effective 10/23/02]</w:t>
      </w:r>
    </w:p>
    <w:p>
      <w:pPr>
        <w:spacing w:before="0" w:after="0"/>
        <w:ind w:left="120"/>
        <w:jc w:val="center"/>
      </w:pPr>
      <w:r>
        <w:rPr>
          <w:rFonts w:ascii="Times New Roman" w:hAnsi="Times New Roman"/>
          <w:b w:val="false"/>
          <w:i w:val="false"/>
          <w:color w:val="000000"/>
          <w:sz w:val="21"/>
        </w:rPr>
        <w:t>[Filed emergency 7/13/07—published 8/1/07, effective 7/13/07]</w:t>
      </w:r>
    </w:p>
    <w:p>
      <w:pPr>
        <w:spacing w:before="0" w:after="0"/>
        <w:ind w:left="120"/>
        <w:jc w:val="center"/>
      </w:pPr>
      <w:r>
        <w:rPr>
          <w:rFonts w:ascii="Times New Roman" w:hAnsi="Times New Roman"/>
          <w:b w:val="false"/>
          <w:i w:val="false"/>
          <w:color w:val="000000"/>
          <w:sz w:val="21"/>
        </w:rPr>
        <w:t>[Filed 9/7/07, Notice 8/1/07—published 9/26/07, effective 10/31/07]</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4013C</w:t>
      </w:r>
      <w:r>
        <w:rPr>
          <w:rFonts w:ascii="Times New Roman" w:hAnsi="Times New Roman"/>
          <w:b w:val="false"/>
          <w:i w:val="false"/>
          <w:color w:val="000000"/>
          <w:sz w:val="21"/>
        </w:rPr>
        <w:t xml:space="preserve"> (Notice ARC 3919C, IAB 8/1/18)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4732C</w:t>
      </w:r>
      <w:r>
        <w:rPr>
          <w:rFonts w:ascii="Times New Roman" w:hAnsi="Times New Roman"/>
          <w:b w:val="false"/>
          <w:i w:val="false"/>
          <w:color w:val="000000"/>
          <w:sz w:val="21"/>
        </w:rPr>
        <w:t xml:space="preserve"> (Notice ARC 4590C, IAB 8/14/19)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6018C</w:t>
      </w:r>
      <w:r>
        <w:rPr>
          <w:rFonts w:ascii="Times New Roman" w:hAnsi="Times New Roman"/>
          <w:b w:val="false"/>
          <w:i w:val="false"/>
          <w:color w:val="000000"/>
          <w:sz w:val="21"/>
        </w:rPr>
        <w:t xml:space="preserve"> (Notice ARC 5895C,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6296C</w:t>
      </w:r>
      <w:r>
        <w:rPr>
          <w:rFonts w:ascii="Times New Roman" w:hAnsi="Times New Roman"/>
          <w:b w:val="false"/>
          <w:i w:val="false"/>
          <w:color w:val="000000"/>
          <w:sz w:val="21"/>
        </w:rPr>
        <w:t xml:space="preserve"> (Notice ARC 6214C, IAB 2/23/22)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[Filed ARC 6976C</w:t>
      </w:r>
      <w:r>
        <w:rPr>
          <w:rFonts w:ascii="Times New Roman" w:hAnsi="Times New Roman"/>
          <w:b w:val="false"/>
          <w:i w:val="false"/>
          <w:color w:val="000000"/>
          <w:sz w:val="21"/>
        </w:rPr>
        <w:t xml:space="preserve"> (Notice ARC 6879C, IAB 2/8/23)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0014D</w:t>
      </w:r>
      <w:r>
        <w:rPr>
          <w:rFonts w:ascii="Times New Roman" w:hAnsi="Times New Roman"/>
          <w:b w:val="false"/>
          <w:i w:val="false"/>
          <w:color w:val="000000"/>
          <w:sz w:val="21"/>
        </w:rPr>
        <w:t xml:space="preserve"> (Notice ARC 9760C, IAB 11/26/25)</w:t>
      </w:r>
      <w:r>
        <w:rPr>
          <w:rFonts w:ascii="Times New Roman" w:hAnsi="Times New Roman"/>
          <w:b w:val="false"/>
          <w:i w:val="false"/>
          <w:color w:val="000000"/>
          <w:sz w:val="21"/>
        </w:rPr>
        <w:t>, IAB 1/21/26, effective 2/25/26]</w:t>
      </w:r>
    </w:p>
    <w:p>
      <w:pPr>
        <w:spacing w:before="0" w:after="0"/>
        <w:ind w:left="120"/>
        <w:jc w:val="center"/>
      </w:pPr>
      <w:r>
        <w:rPr>
          <w:rFonts w:ascii="Times New Roman" w:hAnsi="Times New Roman"/>
          <w:b w:val="false"/>
          <w:i w:val="false"/>
          <w:color w:val="000000"/>
          <w:sz w:val="21"/>
        </w:rPr>
        <w:t>[Filed ARC 0593D</w:t>
      </w:r>
      <w:r>
        <w:rPr>
          <w:rFonts w:ascii="Times New Roman" w:hAnsi="Times New Roman"/>
          <w:b w:val="false"/>
          <w:i w:val="false"/>
          <w:color w:val="000000"/>
          <w:sz w:val="21"/>
        </w:rPr>
        <w:t xml:space="preserve"> (Notice ARC 0431D, IAB 7/22/26)</w:t>
      </w:r>
      <w:r>
        <w:rPr>
          <w:rFonts w:ascii="Times New Roman" w:hAnsi="Times New Roman"/>
          <w:b w:val="false"/>
          <w:i w:val="false"/>
          <w:color w:val="000000"/>
          <w:sz w:val="21"/>
        </w:rPr>
        <w:t>, IAB 9/16/26, effective 10/21/26]</w:t>
      </w:r>
    </w:p>
    <w:p>
      <w:pPr>
        <w:pBdr>
          <w:bottom w:space="2"/>
        </w:pBdr>
        <w:spacing w:before="0" w:after="0"/>
        <w:ind w:left="120"/>
        <w:jc w:val="both"/>
      </w:pPr>
      <w:r>
        <w:rPr>
          <w:rFonts w:ascii="Times New Roman" w:hAnsi="Times New Roman"/>
          <w:b w:val="false"/>
          <w:i w:val="false"/>
          <w:color w:val="000000"/>
          <w:sz w:val="22"/>
        </w:rPr>
        <w:t>This history transferred in IAC 9/5/90 from 481—Chapter 103, applicable to “Qualified Organization.”</w:t>
      </w:r>
    </w:p>
    <w:p>
      <w:pPr>
        <w:pBdr>
          <w:bottom w:space="2"/>
        </w:pBdr>
        <w:spacing w:before="0" w:after="0"/>
        <w:ind w:left="120"/>
        <w:jc w:val="both"/>
      </w:pPr>
      <w:r>
        <w:rPr>
          <w:rFonts w:ascii="Times New Roman" w:hAnsi="Times New Roman"/>
          <w:b w:val="false"/>
          <w:i w:val="false"/>
          <w:color w:val="000000"/>
          <w:sz w:val="22"/>
        </w:rPr>
        <w:t>This history transferred in IAC 9/5/90 from 481—Chapter 105, applicable to “Annual Game Night.”</w:t>
      </w:r>
    </w:p>
    <w:sectPr>
      <w:footerReference r:id="rId3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B.pdf" Type="http://schemas.openxmlformats.org/officeDocument/2006/relationships/hyperlink" Id="rId5"/>
    <Relationship TargetMode="External" Target="https://www.legis.iowa.gov/docs/iac/chapter/481.101.pdf" Type="http://schemas.openxmlformats.org/officeDocument/2006/relationships/hyperlink" Id="rId6"/>
    <Relationship TargetMode="External" Target="https://www.legis.iowa.gov/docs/iac/chapter/481.106.pdf" Type="http://schemas.openxmlformats.org/officeDocument/2006/relationships/hyperlink" Id="rId7"/>
    <Relationship TargetMode="External" Target="https://www.legis.iowa.gov/docs/ico/chapter/99B.pdf" Type="http://schemas.openxmlformats.org/officeDocument/2006/relationships/hyperlink" Id="rId8"/>
    <Relationship TargetMode="External" Target="https://www.legis.iowa.gov/docs/ico/chapter/99B.1.pdf" Type="http://schemas.openxmlformats.org/officeDocument/2006/relationships/hyperlink" Id="rId9"/>
    <Relationship TargetMode="External" Target="https://www.legis.iowa.gov/docs/ico/chapter/99B.24.pdf" Type="http://schemas.openxmlformats.org/officeDocument/2006/relationships/hyperlink" Id="rId10"/>
    <Relationship TargetMode="External" Target="https://www.legis.iowa.gov/docs/ico/chapter/99B.pdf" Type="http://schemas.openxmlformats.org/officeDocument/2006/relationships/hyperlink" Id="rId11"/>
    <Relationship TargetMode="External" Target="http://dial.iowa.gov" Type="http://schemas.openxmlformats.org/officeDocument/2006/relationships/hyperlink" Id="rId12"/>
    <Relationship TargetMode="External" Target="https://www.legis.iowa.gov/docs/ico/chapter/173.pdf" Type="http://schemas.openxmlformats.org/officeDocument/2006/relationships/hyperlink" Id="rId13"/>
    <Relationship TargetMode="External" Target="https://www.legis.iowa.gov/docs/ico/chapter/174.1.pdf" Type="http://schemas.openxmlformats.org/officeDocument/2006/relationships/hyperlink" Id="rId14"/>
    <Relationship TargetMode="External" Target="https://www.legis.iowa.gov/docs/ico/chapter/99B.1.pdf" Type="http://schemas.openxmlformats.org/officeDocument/2006/relationships/hyperlink" Id="rId15"/>
    <Relationship TargetMode="External" Target="https://www.legis.iowa.gov/docs/ico/chapter/99B.24.pdf" Type="http://schemas.openxmlformats.org/officeDocument/2006/relationships/hyperlink" Id="rId16"/>
    <Relationship TargetMode="External" Target="https://www.legis.iowa.gov/docs/ico/chapter/99B.27.pdf" Type="http://schemas.openxmlformats.org/officeDocument/2006/relationships/hyperlink" Id="rId17"/>
    <Relationship TargetMode="External" Target="https://www.legis.iowa.gov/docs/ico/chapter/99B.pdf" Type="http://schemas.openxmlformats.org/officeDocument/2006/relationships/hyperlink" Id="rId18"/>
    <Relationship TargetMode="External" Target="https://www.legis.iowa.gov/docs/ico/chapter/99B.5.pdf" Type="http://schemas.openxmlformats.org/officeDocument/2006/relationships/hyperlink" Id="rId19"/>
    <Relationship TargetMode="External" Target="https://www.legis.iowa.gov/docs/ico/chapter/99B.21.pdf" Type="http://schemas.openxmlformats.org/officeDocument/2006/relationships/hyperlink" Id="rId20"/>
    <Relationship TargetMode="External" Target="https://www.legis.iowa.gov/docs/ico/chapter/99B.pdf" Type="http://schemas.openxmlformats.org/officeDocument/2006/relationships/hyperlink" Id="rId21"/>
    <Relationship TargetMode="External" Target="https://www.legis.iowa.gov/docs/ico/chapter/99B.16.pdf" Type="http://schemas.openxmlformats.org/officeDocument/2006/relationships/hyperlink" Id="rId22"/>
    <Relationship TargetMode="External" Target="https://www.legis.iowa.gov/docs/ico/chapter/99B.16.pdf" Type="http://schemas.openxmlformats.org/officeDocument/2006/relationships/hyperlink" Id="rId23"/>
    <Relationship TargetMode="External" Target="http://dial.iowa.gov" Type="http://schemas.openxmlformats.org/officeDocument/2006/relationships/hyperlink" Id="rId24"/>
    <Relationship TargetMode="External" Target="https://www.legis.iowa.gov/docs/iac/chapter/481.10.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ac/rule/481.100.16.pdf" Type="http://schemas.openxmlformats.org/officeDocument/2006/relationships/hyperlink" Id="rId27"/>
    <Relationship TargetMode="External" Target="https://www.legis.iowa.gov/docs/ico/chapter/99B.14.pdf" Type="http://schemas.openxmlformats.org/officeDocument/2006/relationships/hyperlink" Id="rId28"/>
    <Relationship TargetMode="External" Target="https://www.legis.iowa.gov/docs/ico/chapter/99B.14.pdf" Type="http://schemas.openxmlformats.org/officeDocument/2006/relationships/hyperlink" Id="rId29"/>
    <Relationship TargetMode="External" Target="https://www.legis.iowa.gov/docs/ico/chapter/99B.14.pdf" Type="http://schemas.openxmlformats.org/officeDocument/2006/relationships/hyperlink" Id="rId30"/>
    <Relationship TargetMode="External" Target="https://www.legis.iowa.gov/docs/ico/chapter/99B.32.pdf" Type="http://schemas.openxmlformats.org/officeDocument/2006/relationships/hyperlink" Id="rId31"/>
    <Relationship TargetMode="External" Target="https://www.legis.iowa.gov/docs/ico/chapter/99B.pdf" Type="http://schemas.openxmlformats.org/officeDocument/2006/relationships/hyperlink" Id="rId32"/>
    <Relationship TargetMode="External" Target="https://www.legis.iowa.gov/docs/ico/chapter/99B.25.pdf" Type="http://schemas.openxmlformats.org/officeDocument/2006/relationships/hyperlink" Id="rId33"/>
    <Relationship TargetMode="External" Target="https://www.legis.iowa.gov/docs/iac/rule/481.100.20.pdf" Type="http://schemas.openxmlformats.org/officeDocument/2006/relationships/hyperlink" Id="rId34"/>
    <Relationship TargetMode="External" Target="https://www.legis.iowa.gov/docs/ico/chapter/99B.1.pdf" Type="http://schemas.openxmlformats.org/officeDocument/2006/relationships/hyperlink" Id="rId35"/>
    <Relationship TargetMode="External" Target="https://www.legis.iowa.gov/docs/ico/chapter/99B.25.pdf" Type="http://schemas.openxmlformats.org/officeDocument/2006/relationships/hyperlink" Id="rId36"/>
    <Relationship TargetMode="External" Target="https://www.legis.iowa.gov/docs/ico/chapter/99B.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