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CHILD SUPPORT SERVICES</w:t>
      </w:r>
    </w:p>
    <w:p>
      <w:pPr>
        <w:spacing w:before="0" w:after="0"/>
        <w:ind w:left="120"/>
        <w:jc w:val="center"/>
      </w:pPr>
      <w:r>
        <w:rPr>
          <w:rFonts w:ascii="Times New Roman" w:hAnsi="Times New Roman"/>
          <w:b w:val="false"/>
          <w:i w:val="false"/>
          <w:color w:val="000000"/>
          <w:sz w:val="14"/>
        </w:rPr>
        <w:t>[Prior to 7/1/83, Social Services[770] Ch 95]</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441—95.1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“Caretaker”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custodial parent, relative, or guardian whose needs are included in an assistance grant paid according to Iowa Code chapter </w:t>
      </w:r>
      <w:hyperlink r:id="rId5">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who is receiving this assistance on behalf of a dependent child, or who is a recipient of nonassistance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“Current support”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payments received in the amount, manner, and frequency as specified by an order for support and that are paid to the clerk of the district court, the public agency designated as the distributor of support payments as in interstate cases, or another designated agency. Payments to persons other than the clerk of the district court or other designated agency do not satisfy the definition of support pursuant to Iowa Code section </w:t>
      </w:r>
      <w:hyperlink r:id="rId6">
        <w:r>
          <w:rPr>
            <w:rStyle w:val="Hyperlink"/>
            <w:rFonts w:ascii="Times New Roman" w:hAnsi="Times New Roman"/>
            <w:b w:val="false"/>
            <w:i w:val="false"/>
            <w:color w:val="000000"/>
            <w:sz w:val="22"/>
          </w:rPr>
          <w:t>598.22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“Date of collection”</w:t>
      </w:r>
      <w:r>
        <w:rPr>
          <w:rFonts w:ascii="Times New Roman" w:hAnsi="Times New Roman"/>
          <w:b w:val="false"/>
          <w:i w:val="false"/>
          <w:color w:val="000000"/>
          <w:sz w:val="22"/>
        </w:rPr>
        <w:t> </w:t>
      </w:r>
      <w:r>
        <w:rPr>
          <w:rFonts w:ascii="Times New Roman" w:hAnsi="Times New Roman"/>
          <w:b w:val="false"/>
          <w:i w:val="false"/>
          <w:color w:val="000000"/>
          <w:sz w:val="22"/>
        </w:rPr>
        <w:t>means the date that a support payment is received by the department or the legal entity of any state or political subdivision actually making the collection, or the date that a support payment is withheld from the income of a responsible person by an employer or other income provider,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 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meets the eligibility criteria established in Iowa Code chapter </w:t>
      </w:r>
      <w:hyperlink r:id="rId7">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whose support is required by Iowa Code chapter </w:t>
      </w:r>
      <w:hyperlink r:id="rId9">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600B</w:t>
        </w:r>
      </w:hyperlink>
      <w:r>
        <w:rPr>
          <w:rFonts w:ascii="Times New Roman" w:hAnsi="Times New Roman"/>
          <w:b w:val="false"/>
          <w:i w:val="false"/>
          <w:color w:val="000000"/>
          <w:sz w:val="22"/>
        </w:rPr>
        <w:t>, and any other comparable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“Obligee”</w:t>
      </w:r>
      <w:r>
        <w:rPr>
          <w:rFonts w:ascii="Times New Roman" w:hAnsi="Times New Roman"/>
          <w:b w:val="false"/>
          <w:i w:val="false"/>
          <w:color w:val="000000"/>
          <w:sz w:val="22"/>
        </w:rPr>
        <w:t> </w:t>
      </w:r>
      <w:r>
        <w:rPr>
          <w:rFonts w:ascii="Times New Roman" w:hAnsi="Times New Roman"/>
          <w:b w:val="false"/>
          <w:i w:val="false"/>
          <w:color w:val="000000"/>
          <w:sz w:val="22"/>
        </w:rPr>
        <w:t>means any person or entity entitled to child support or medical support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“Obligor”</w:t>
      </w:r>
      <w:r>
        <w:rPr>
          <w:rFonts w:ascii="Times New Roman" w:hAnsi="Times New Roman"/>
          <w:b w:val="false"/>
          <w:i w:val="false"/>
          <w:color w:val="000000"/>
          <w:sz w:val="22"/>
        </w:rPr>
        <w:t> </w:t>
      </w:r>
      <w:r>
        <w:rPr>
          <w:rFonts w:ascii="Times New Roman" w:hAnsi="Times New Roman"/>
          <w:b w:val="false"/>
          <w:i w:val="false"/>
          <w:color w:val="000000"/>
          <w:sz w:val="22"/>
        </w:rPr>
        <w:t>means a parent, relative, or guardian or any other designated person who is legally liable for the support of a child or a child’s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“Prepayment”</w:t>
      </w:r>
      <w:r>
        <w:rPr>
          <w:rFonts w:ascii="Times New Roman" w:hAnsi="Times New Roman"/>
          <w:b w:val="false"/>
          <w:i w:val="false"/>
          <w:color w:val="000000"/>
          <w:sz w:val="22"/>
        </w:rPr>
        <w:t> </w:t>
      </w:r>
      <w:r>
        <w:rPr>
          <w:rFonts w:ascii="Times New Roman" w:hAnsi="Times New Roman"/>
          <w:b w:val="false"/>
          <w:i w:val="false"/>
          <w:color w:val="000000"/>
          <w:sz w:val="22"/>
        </w:rPr>
        <w:t>means payment toward an ongoing support obligation when the payment exceeds the current support obligation and amounts due for past months are fully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assistance provided according to Iowa Code chapter </w:t>
      </w:r>
      <w:hyperlink r:id="rId18">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the cost of foster care provided by the department according to Iowa Code chapter </w:t>
      </w:r>
      <w:hyperlink r:id="rId20">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or assistance provided under comparable laws of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parent, relative, or guardian or any other designated person who is or may be declared to be legally liable for the support of a child or a child’s caretaker. For the purposes of calculating a support obligation pursuant to the mandatory child support guidelines prescribed by the Iowa Supreme Court in accordance with Iowa Code section </w:t>
      </w:r>
      <w:hyperlink r:id="rId21">
        <w:r>
          <w:rPr>
            <w:rStyle w:val="Hyperlink"/>
            <w:rFonts w:ascii="Times New Roman" w:hAnsi="Times New Roman"/>
            <w:b w:val="false"/>
            <w:i w:val="false"/>
            <w:color w:val="000000"/>
            <w:sz w:val="22"/>
          </w:rPr>
          <w:t>598.21B</w:t>
        </w:r>
      </w:hyperlink>
      <w:r>
        <w:rPr>
          <w:rFonts w:ascii="Times New Roman" w:hAnsi="Times New Roman"/>
          <w:b w:val="false"/>
          <w:i w:val="false"/>
          <w:color w:val="000000"/>
          <w:sz w:val="22"/>
        </w:rPr>
        <w:t>, this  means the person from whom support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w:t>
      </w:r>
      <w:r>
        <w:rPr>
          <w:rFonts w:ascii="Times New Roman" w:hAnsi="Times New Roman"/>
          <w:b w:val="false"/>
          <w:i w:val="false"/>
          <w:color w:val="000000"/>
          <w:sz w:val="22"/>
        </w:rPr>
        <w:t> </w:t>
      </w:r>
      <w:r>
        <w:rPr>
          <w:rFonts w:ascii="Times New Roman" w:hAnsi="Times New Roman"/>
          <w:b w:val="false"/>
          <w:i w:val="false"/>
          <w:color w:val="000000"/>
          <w:sz w:val="22"/>
        </w:rPr>
        <w:t>means child support or medical support or both for purposes of establishing, modifying, or enforcing orders and means spousal support for purposes of enforcing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441—95.2</w:t>
      </w:r>
      <w:r>
        <w:rPr>
          <w:rFonts w:ascii="Times New Roman" w:hAnsi="Times New Roman"/>
          <w:b/>
          <w:i w:val="false"/>
          <w:color w:val="000000"/>
          <w:sz w:val="22"/>
        </w:rPr>
        <w:t xml:space="preserve">(252B) </w:t>
      </w:r>
      <w:r>
        <w:rPr>
          <w:rFonts w:ascii="Times New Roman" w:hAnsi="Times New Roman"/>
          <w:b/>
          <w:i w:val="false"/>
          <w:color w:val="000000"/>
          <w:sz w:val="22"/>
        </w:rPr>
        <w:t xml:space="preserve">Child support eligibility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w:t>
      </w:r>
      <w:r>
        <w:rPr>
          <w:rFonts w:ascii="Times New Roman" w:hAnsi="Times New Roman"/>
          <w:b w:val="false"/>
          <w:i w:val="false"/>
          <w:color w:val="000000"/>
          <w:sz w:val="22"/>
        </w:rPr>
        <w:t> </w:t>
      </w:r>
      <w:r>
        <w:rPr>
          <w:rFonts w:ascii="Times New Roman" w:hAnsi="Times New Roman"/>
          <w:b w:val="false"/>
          <w:i/>
          <w:color w:val="000000"/>
          <w:sz w:val="22"/>
        </w:rPr>
        <w:t xml:space="preserve">Public assistance cases. </w:t>
      </w:r>
      <w:r>
        <w:rPr>
          <w:rFonts w:ascii="Times New Roman" w:hAnsi="Times New Roman"/>
          <w:b w:val="false"/>
          <w:i w:val="false"/>
          <w:color w:val="000000"/>
          <w:sz w:val="22"/>
        </w:rPr>
        <w:t>Child support services will provide paternity establishment and support establishment, modification and enforcement services as appropriate, under federal and state laws and rules for children and families referred to child support services who have applied for or are receiving public assistance. Referrals under this subrule may be made by the family investment program (FIP), the Medicaid program, the foster care program, or agencies of other states providing child support services under Title IV-D of the Social Security Act as amended to August 1, 2024, for recipients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95.2(2)</w:t>
      </w:r>
      <w:r>
        <w:rPr>
          <w:rFonts w:ascii="Times New Roman" w:hAnsi="Times New Roman"/>
          <w:b w:val="false"/>
          <w:i w:val="false"/>
          <w:color w:val="000000"/>
          <w:sz w:val="22"/>
        </w:rPr>
        <w:t> </w:t>
      </w:r>
      <w:r>
        <w:rPr>
          <w:rFonts w:ascii="Times New Roman" w:hAnsi="Times New Roman"/>
          <w:b w:val="false"/>
          <w:i/>
          <w:color w:val="000000"/>
          <w:sz w:val="22"/>
        </w:rPr>
        <w:t xml:space="preserve">Nonpublic assistance cases. </w:t>
      </w:r>
      <w:r>
        <w:rPr>
          <w:rFonts w:ascii="Times New Roman" w:hAnsi="Times New Roman"/>
          <w:b w:val="false"/>
          <w:i w:val="false"/>
          <w:color w:val="000000"/>
          <w:sz w:val="22"/>
        </w:rPr>
        <w:t>The same services provided by child support services for public assistance cases will also be made available to any person not otherwise eligible for public assistance. A person who is not on public assistance requesting services under this chapter will complete and submit to child support services a form prescribed by the department, or an electronic version of such application, for each parent from whom the person is seeking support. The person requesting services has the option to seek support from one or both of a child’s parents. Child support services will not require an application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not receiving public assistance for whom an agency of another state providing Title IV-D child support services has requested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for whom a foreign country as defined in Iowa Code chapter </w:t>
      </w:r>
      <w:hyperlink r:id="rId22">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has requested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who are eligible for continued services upon termination of assistance under the family investment program or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95.2(3)</w:t>
      </w:r>
      <w:r>
        <w:rPr>
          <w:rFonts w:ascii="Times New Roman" w:hAnsi="Times New Roman"/>
          <w:b w:val="false"/>
          <w:i w:val="false"/>
          <w:color w:val="000000"/>
          <w:sz w:val="22"/>
        </w:rPr>
        <w:t> </w:t>
      </w:r>
      <w:r>
        <w:rPr>
          <w:rFonts w:ascii="Times New Roman" w:hAnsi="Times New Roman"/>
          <w:b w:val="false"/>
          <w:i/>
          <w:color w:val="000000"/>
          <w:sz w:val="22"/>
        </w:rPr>
        <w:t xml:space="preserve">Services available. </w:t>
      </w:r>
      <w:r>
        <w:rPr>
          <w:rFonts w:ascii="Times New Roman" w:hAnsi="Times New Roman"/>
          <w:b w:val="false"/>
          <w:i w:val="false"/>
          <w:color w:val="000000"/>
          <w:sz w:val="22"/>
        </w:rPr>
        <w:t>Except as provided by separate rule, child support services will provide the same services to persons receiving public assistance and persons not receiving public assistance. Child support services will determine the appropriate enforcement procedure to be used. The services are limited to the establishment of paternity, the establishment and enforcement of child support obligations and medical support obligations, and the enforcement of spousal support orders if the spouse is the custodial parent of a child for whom the department is enforcing a child support or medical support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441—95.3</w:t>
      </w:r>
      <w:r>
        <w:rPr>
          <w:rFonts w:ascii="Times New Roman" w:hAnsi="Times New Roman"/>
          <w:b/>
          <w:i w:val="false"/>
          <w:color w:val="000000"/>
          <w:sz w:val="22"/>
        </w:rPr>
        <w:t xml:space="preserve">(252B) </w:t>
      </w:r>
      <w:r>
        <w:rPr>
          <w:rFonts w:ascii="Times New Roman" w:hAnsi="Times New Roman"/>
          <w:b/>
          <w:i w:val="false"/>
          <w:color w:val="000000"/>
          <w:sz w:val="22"/>
        </w:rPr>
        <w:t xml:space="preserve">Crediting of current and delinquent support. </w:t>
      </w:r>
      <w:r>
        <w:rPr>
          <w:rFonts w:ascii="Times New Roman" w:hAnsi="Times New Roman"/>
          <w:b w:val="false"/>
          <w:i w:val="false"/>
          <w:color w:val="000000"/>
          <w:sz w:val="22"/>
        </w:rPr>
        <w:t xml:space="preserve">The amounts received as support from the obligor will be credited as the required support obligation for the month in which they are collected. Any excess will be credited as delinquent payments, will be applied to the immediately preceding month, and then will be applied to the next immediately preceding month until all excess has been applied. Funds received as a result of federal tax offsets will be credited according to rule </w:t>
      </w:r>
      <w:hyperlink r:id="rId23">
        <w:r>
          <w:rPr>
            <w:rStyle w:val="Hyperlink"/>
            <w:rFonts w:ascii="Times New Roman" w:hAnsi="Times New Roman"/>
            <w:b w:val="false"/>
            <w:i w:val="false"/>
            <w:color w:val="000000"/>
            <w:sz w:val="22"/>
          </w:rPr>
          <w:t>441—98.30</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The date of collection will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95.3(1)</w:t>
      </w:r>
      <w:r>
        <w:rPr>
          <w:rFonts w:ascii="Times New Roman" w:hAnsi="Times New Roman"/>
          <w:b w:val="false"/>
          <w:i w:val="false"/>
          <w:color w:val="000000"/>
          <w:sz w:val="22"/>
        </w:rPr>
        <w:t> </w:t>
      </w:r>
      <w:r>
        <w:rPr>
          <w:rFonts w:ascii="Times New Roman" w:hAnsi="Times New Roman"/>
          <w:b w:val="false"/>
          <w:i/>
          <w:color w:val="000000"/>
          <w:sz w:val="22"/>
        </w:rPr>
        <w:t xml:space="preserve">Payments from income withholding. </w:t>
      </w:r>
      <w:r>
        <w:rPr>
          <w:rFonts w:ascii="Times New Roman" w:hAnsi="Times New Roman"/>
          <w:b w:val="false"/>
          <w:i w:val="false"/>
          <w:color w:val="000000"/>
          <w:sz w:val="22"/>
        </w:rPr>
        <w:t>Payments collected as the result of income withholding are considered collected in the month in which the income was withheld by the income provider. The date of collection will be the date on which the income was withheld.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 of reporting the date the income was withheld, the department will notify income providers of the requirement to report the date income was withheld and will provide a form prescribed by the department to those income providers who manually remit payments. When reported on this form or through other electronic means or multiple account listings, the date of collection will be used to determine support distributions. When the date of collection is not reported, support distributions will initially be issued based on the date of the check. If proof of the date of collection is subsequently provided, any additional payments due the recipient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collection services center (CSC) is notified or otherwise becomes aware that a payment received from an income provider pursuant to </w:t>
      </w:r>
      <w:hyperlink r:id="rId24">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 xml:space="preserve"> includes payment amounts such as vacation pay or severance pay, these amounts are considered irrevocably withheld in the months documented by the income provider. When the income provider does not document the months for which the sums are withheld, the amounts will initially be distributed based on the date of the check. If documentation is subsequently provided, any additional payments due the recipient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95.3(2)</w:t>
      </w:r>
      <w:r>
        <w:rPr>
          <w:rFonts w:ascii="Times New Roman" w:hAnsi="Times New Roman"/>
          <w:b w:val="false"/>
          <w:i w:val="false"/>
          <w:color w:val="000000"/>
          <w:sz w:val="22"/>
        </w:rPr>
        <w:t> </w:t>
      </w:r>
      <w:r>
        <w:rPr>
          <w:rFonts w:ascii="Times New Roman" w:hAnsi="Times New Roman"/>
          <w:b w:val="false"/>
          <w:i/>
          <w:color w:val="000000"/>
          <w:sz w:val="22"/>
        </w:rPr>
        <w:t xml:space="preserve">Payments from state or political subdivisions. </w:t>
      </w:r>
      <w:r>
        <w:rPr>
          <w:rFonts w:ascii="Times New Roman" w:hAnsi="Times New Roman"/>
          <w:b w:val="false"/>
          <w:i w:val="false"/>
          <w:color w:val="000000"/>
          <w:sz w:val="22"/>
        </w:rPr>
        <w:t>Payments collected from any state or political subdivision are considered collected in the same month the payments were actually received by that legal entity or the month withheld by an income provider, whichever is earlier. Any state or political subdivision transmitting payments to the department will be responsible for reporting the date the payments were collected. When the date of collection is not reported, support distributions will be initially issued based on the date of the state’s or political subdivision’s check. If proof of the date of collection is subsequently provided, any additional payments due the recipient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95.3(3)</w:t>
      </w:r>
      <w:r>
        <w:rPr>
          <w:rFonts w:ascii="Times New Roman" w:hAnsi="Times New Roman"/>
          <w:b w:val="false"/>
          <w:i w:val="false"/>
          <w:color w:val="000000"/>
          <w:sz w:val="22"/>
        </w:rPr>
        <w:t> </w:t>
      </w:r>
      <w:r>
        <w:rPr>
          <w:rFonts w:ascii="Times New Roman" w:hAnsi="Times New Roman"/>
          <w:b w:val="false"/>
          <w:i/>
          <w:color w:val="000000"/>
          <w:sz w:val="22"/>
        </w:rPr>
        <w:t xml:space="preserve">Additional payments. </w:t>
      </w:r>
      <w:r>
        <w:rPr>
          <w:rFonts w:ascii="Times New Roman" w:hAnsi="Times New Roman"/>
          <w:b w:val="false"/>
          <w:i w:val="false"/>
          <w:color w:val="000000"/>
          <w:sz w:val="22"/>
        </w:rPr>
        <w:t>An additional payment in the month that is received within five calendar days prior to the end of the month will be considered collected in the next month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CSC is notified or otherwise becomes aware that the payment is for the next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Support for the current month is fully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441—95.4</w:t>
      </w:r>
      <w:r>
        <w:rPr>
          <w:rFonts w:ascii="Times New Roman" w:hAnsi="Times New Roman"/>
          <w:b/>
          <w:i w:val="false"/>
          <w:color w:val="000000"/>
          <w:sz w:val="22"/>
        </w:rPr>
        <w:t xml:space="preserve">(252B) </w:t>
      </w:r>
      <w:r>
        <w:rPr>
          <w:rFonts w:ascii="Times New Roman" w:hAnsi="Times New Roman"/>
          <w:b/>
          <w:i w:val="false"/>
          <w:color w:val="000000"/>
          <w:sz w:val="22"/>
        </w:rPr>
        <w:t xml:space="preserve">Prepayment of support. </w:t>
      </w:r>
      <w:r>
        <w:rPr>
          <w:rFonts w:ascii="Times New Roman" w:hAnsi="Times New Roman"/>
          <w:b w:val="false"/>
          <w:i w:val="false"/>
          <w:color w:val="000000"/>
          <w:sz w:val="22"/>
        </w:rPr>
        <w:t>Prepayment that is due to the obligee will be sent to the obligee upon receipt by the department and will be credited as payment of future months’ support. Prepayment that is due the state will be distributed as if it were received in the month when due. Support is prepaid when amounts have been collected that fully satisfy the ongoing support obligation for the current month and all past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441—95.5</w:t>
      </w:r>
      <w:r>
        <w:rPr>
          <w:rFonts w:ascii="Times New Roman" w:hAnsi="Times New Roman"/>
          <w:b/>
          <w:i w:val="false"/>
          <w:color w:val="000000"/>
          <w:sz w:val="22"/>
        </w:rPr>
        <w:t xml:space="preserve">(252B) </w:t>
      </w:r>
      <w:r>
        <w:rPr>
          <w:rFonts w:ascii="Times New Roman" w:hAnsi="Times New Roman"/>
          <w:b/>
          <w:i w:val="false"/>
          <w:color w:val="000000"/>
          <w:sz w:val="22"/>
        </w:rPr>
        <w:t xml:space="preserve">Lump sum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95.5(1)</w:t>
      </w:r>
      <w:r>
        <w:rPr>
          <w:rFonts w:ascii="Times New Roman" w:hAnsi="Times New Roman"/>
          <w:b w:val="false"/>
          <w:i w:val="false"/>
          <w:color w:val="000000"/>
          <w:sz w:val="22"/>
        </w:rPr>
        <w:t> </w:t>
      </w:r>
      <w:r>
        <w:rPr>
          <w:rFonts w:ascii="Times New Roman" w:hAnsi="Times New Roman"/>
          <w:b w:val="false"/>
          <w:i w:val="false"/>
          <w:color w:val="000000"/>
          <w:sz w:val="22"/>
        </w:rPr>
        <w:t xml:space="preserve">Any lump sum settlement of child support involving an assignment of child support payments will be negotiated in conjunction with child support services. Child support services will  be responsible for the determination of the amount due the department, including any accrued interest on the support debt computed in accordance with Iowa Code section </w:t>
      </w:r>
      <w:hyperlink r:id="rId25">
        <w:r>
          <w:rPr>
            <w:rStyle w:val="Hyperlink"/>
            <w:rFonts w:ascii="Times New Roman" w:hAnsi="Times New Roman"/>
            <w:b w:val="false"/>
            <w:i w:val="false"/>
            <w:color w:val="000000"/>
            <w:sz w:val="22"/>
          </w:rPr>
          <w:t>535.3</w:t>
        </w:r>
      </w:hyperlink>
      <w:r>
        <w:rPr>
          <w:rFonts w:ascii="Times New Roman" w:hAnsi="Times New Roman"/>
          <w:b w:val="false"/>
          <w:i w:val="false"/>
          <w:color w:val="000000"/>
          <w:sz w:val="22"/>
        </w:rPr>
        <w:t xml:space="preserve"> for court judgments. This determination of the amount due will be made in accordance with 45 CFR Section 302.51 (as amended to August 1, 2024). The department may waive collection of the accrued interest when negotiating a lump sum settlement of a support debt if the waiver will facilitate the collection of the support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is responsible for the determination of the department’s entitlement to all or any of the lump sum payment in a paternity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441—95.6</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Nonreceipt of support collected by the department that is to be paid to the obligee may be appealed pursuant to the procedures provided in this rule if the obligee claims that the payment was credited to the incorrect month in accordance with subrules </w:t>
      </w:r>
      <w:r>
        <w:rPr>
          <w:rFonts w:ascii="Times New Roman" w:hAnsi="Times New Roman"/>
          <w:b w:val="false"/>
          <w:i w:val="false"/>
          <w:color w:val="000000"/>
          <w:sz w:val="22"/>
        </w:rPr>
        <w:t>95.3(1)</w:t>
      </w:r>
      <w:r>
        <w:rPr>
          <w:rFonts w:ascii="Times New Roman" w:hAnsi="Times New Roman"/>
          <w:b w:val="false"/>
          <w:i w:val="false"/>
          <w:color w:val="000000"/>
          <w:sz w:val="22"/>
        </w:rPr>
        <w:t xml:space="preserve">, </w:t>
      </w:r>
      <w:r>
        <w:rPr>
          <w:rFonts w:ascii="Times New Roman" w:hAnsi="Times New Roman"/>
          <w:b w:val="false"/>
          <w:i w:val="false"/>
          <w:color w:val="000000"/>
          <w:sz w:val="22"/>
        </w:rPr>
        <w:t>95.3(2)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95.3(3)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w:t>
      </w:r>
      <w:r>
        <w:rPr>
          <w:rFonts w:ascii="Times New Roman" w:hAnsi="Times New Roman"/>
          <w:b w:val="false"/>
          <w:i w:val="false"/>
          <w:color w:val="000000"/>
          <w:sz w:val="22"/>
        </w:rPr>
        <w:t> </w:t>
      </w:r>
      <w:r>
        <w:rPr>
          <w:rFonts w:ascii="Times New Roman" w:hAnsi="Times New Roman"/>
          <w:b w:val="false"/>
          <w:i/>
          <w:color w:val="000000"/>
          <w:sz w:val="22"/>
        </w:rPr>
        <w:t xml:space="preserve">Contact. </w:t>
      </w:r>
      <w:r>
        <w:rPr>
          <w:rFonts w:ascii="Times New Roman" w:hAnsi="Times New Roman"/>
          <w:b w:val="false"/>
          <w:i w:val="false"/>
          <w:color w:val="000000"/>
          <w:sz w:val="22"/>
        </w:rPr>
        <w:t xml:space="preserve">Obligees who believe they have not received all or part of a support payment to which they are entitled in accordance with subrules </w:t>
      </w:r>
      <w:r>
        <w:rPr>
          <w:rFonts w:ascii="Times New Roman" w:hAnsi="Times New Roman"/>
          <w:b w:val="false"/>
          <w:i w:val="false"/>
          <w:color w:val="000000"/>
          <w:sz w:val="22"/>
        </w:rPr>
        <w:t>95.3(1)</w:t>
      </w:r>
      <w:r>
        <w:rPr>
          <w:rFonts w:ascii="Times New Roman" w:hAnsi="Times New Roman"/>
          <w:b w:val="false"/>
          <w:i w:val="false"/>
          <w:color w:val="000000"/>
          <w:sz w:val="22"/>
        </w:rPr>
        <w:t xml:space="preserve">, </w:t>
      </w:r>
      <w:r>
        <w:rPr>
          <w:rFonts w:ascii="Times New Roman" w:hAnsi="Times New Roman"/>
          <w:b w:val="false"/>
          <w:i w:val="false"/>
          <w:color w:val="000000"/>
          <w:sz w:val="22"/>
        </w:rPr>
        <w:t>95.3(2)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95.3(3)</w:t>
      </w:r>
      <w:r>
        <w:rPr>
          <w:rFonts w:ascii="Times New Roman" w:hAnsi="Times New Roman"/>
          <w:b w:val="false"/>
          <w:i w:val="false"/>
          <w:color w:val="000000"/>
          <w:sz w:val="22"/>
        </w:rPr>
        <w:t xml:space="preserve"> must first contact a customer service representative and indicate that they have not received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obligee may contact a customer service representative by telephone or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acknowledge this contact in writing, indicating the months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95.6(2)</w:t>
      </w:r>
      <w:r>
        <w:rPr>
          <w:rFonts w:ascii="Times New Roman" w:hAnsi="Times New Roman"/>
          <w:b w:val="false"/>
          <w:i w:val="false"/>
          <w:color w:val="000000"/>
          <w:sz w:val="22"/>
        </w:rPr>
        <w:t> </w:t>
      </w:r>
      <w:r>
        <w:rPr>
          <w:rFonts w:ascii="Times New Roman" w:hAnsi="Times New Roman"/>
          <w:b w:val="false"/>
          <w:i/>
          <w:color w:val="000000"/>
          <w:sz w:val="22"/>
        </w:rPr>
        <w:t xml:space="preserve">Written decision. </w:t>
      </w:r>
      <w:r>
        <w:rPr>
          <w:rFonts w:ascii="Times New Roman" w:hAnsi="Times New Roman"/>
          <w:b w:val="false"/>
          <w:i w:val="false"/>
          <w:color w:val="000000"/>
          <w:sz w:val="22"/>
        </w:rPr>
        <w:t>Within 30 days of the contact, the department will issue a written decision on all contested support distributions based on the date of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95.6(3)</w:t>
      </w:r>
      <w:r>
        <w:rPr>
          <w:rFonts w:ascii="Times New Roman" w:hAnsi="Times New Roman"/>
          <w:b w:val="false"/>
          <w:i w:val="false"/>
          <w:color w:val="000000"/>
          <w:sz w:val="22"/>
        </w:rPr>
        <w:t> </w:t>
      </w:r>
      <w:r>
        <w:rPr>
          <w:rFonts w:ascii="Times New Roman" w:hAnsi="Times New Roman"/>
          <w:b w:val="false"/>
          <w:i/>
          <w:color w:val="000000"/>
          <w:sz w:val="22"/>
        </w:rPr>
        <w:t xml:space="preserve">Initiation of appeal. </w:t>
      </w:r>
      <w:r>
        <w:rPr>
          <w:rFonts w:ascii="Times New Roman" w:hAnsi="Times New Roman"/>
          <w:b w:val="false"/>
          <w:i w:val="false"/>
          <w:color w:val="000000"/>
          <w:sz w:val="22"/>
        </w:rPr>
        <w:t>If the department denies some or all support payments that are claimed based on the date of collection, the obligee may initiate an administrative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initiate an administrative appeal, the obligee will make a written request to child support services indicating an intent to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limit for initiating an administrative appeal is governed by </w:t>
      </w:r>
      <w:hyperlink r:id="rId26">
        <w:r>
          <w:rPr>
            <w:rStyle w:val="Hyperlink"/>
            <w:rFonts w:ascii="Times New Roman" w:hAnsi="Times New Roman"/>
            <w:b w:val="false"/>
            <w:i w:val="false"/>
            <w:color w:val="000000"/>
            <w:sz w:val="22"/>
          </w:rPr>
          <w:t>441—subrule 2506.4(7)</w:t>
        </w:r>
      </w:hyperlink>
      <w:r>
        <w:rPr>
          <w:rFonts w:ascii="Times New Roman" w:hAnsi="Times New Roman"/>
          <w:b w:val="false"/>
          <w:i w:val="false"/>
          <w:color w:val="000000"/>
          <w:sz w:val="22"/>
        </w:rPr>
        <w:t xml:space="preserve">. The time limit provided in </w:t>
      </w:r>
      <w:hyperlink r:id="rId27">
        <w:r>
          <w:rPr>
            <w:rStyle w:val="Hyperlink"/>
            <w:rFonts w:ascii="Times New Roman" w:hAnsi="Times New Roman"/>
            <w:b w:val="false"/>
            <w:i w:val="false"/>
            <w:color w:val="000000"/>
            <w:sz w:val="22"/>
          </w:rPr>
          <w:t>441—subrule 2506.4(7)</w:t>
        </w:r>
      </w:hyperlink>
      <w:r>
        <w:rPr>
          <w:rFonts w:ascii="Times New Roman" w:hAnsi="Times New Roman"/>
          <w:b w:val="false"/>
          <w:i w:val="false"/>
          <w:color w:val="000000"/>
          <w:sz w:val="22"/>
        </w:rPr>
        <w:t xml:space="preserve"> will start with the date that a written decision as required by subrule </w:t>
      </w:r>
      <w:r>
        <w:rPr>
          <w:rFonts w:ascii="Times New Roman" w:hAnsi="Times New Roman"/>
          <w:b w:val="false"/>
          <w:i w:val="false"/>
          <w:color w:val="000000"/>
          <w:sz w:val="22"/>
        </w:rPr>
        <w:t>95.6(2)</w:t>
      </w:r>
      <w:r>
        <w:rPr>
          <w:rFonts w:ascii="Times New Roman" w:hAnsi="Times New Roman"/>
          <w:b w:val="false"/>
          <w:i w:val="false"/>
          <w:color w:val="000000"/>
          <w:sz w:val="22"/>
        </w:rPr>
        <w:t xml:space="preserv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written decision has been issued after 30 days, the obligee may appeal the failure to issue a written decision. The appeal may be initiated at any time after 30 days and before a written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95.6(4)</w:t>
      </w:r>
      <w:r>
        <w:rPr>
          <w:rFonts w:ascii="Times New Roman" w:hAnsi="Times New Roman"/>
          <w:b w:val="false"/>
          <w:i w:val="false"/>
          <w:color w:val="000000"/>
          <w:sz w:val="22"/>
        </w:rPr>
        <w:t> </w:t>
      </w:r>
      <w:r>
        <w:rPr>
          <w:rFonts w:ascii="Times New Roman" w:hAnsi="Times New Roman"/>
          <w:b w:val="false"/>
          <w:i/>
          <w:color w:val="000000"/>
          <w:sz w:val="22"/>
        </w:rPr>
        <w:t xml:space="preserve">Limitation of appeals. </w:t>
      </w:r>
      <w:r>
        <w:rPr>
          <w:rFonts w:ascii="Times New Roman" w:hAnsi="Times New Roman"/>
          <w:b w:val="false"/>
          <w:i w:val="false"/>
          <w:color w:val="000000"/>
          <w:sz w:val="22"/>
        </w:rPr>
        <w:t>Appeals will be limited to claims based on child support received by the department during the nine-month period before the month in which the appeal is initiated.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95.6(5)</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Except as specifically provided in this rule, administrative appeals are governed by </w:t>
      </w:r>
      <w:hyperlink r:id="rId2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95.6(6)</w:t>
      </w:r>
      <w:r>
        <w:rPr>
          <w:rFonts w:ascii="Times New Roman" w:hAnsi="Times New Roman"/>
          <w:b w:val="false"/>
          <w:i w:val="false"/>
          <w:color w:val="000000"/>
          <w:sz w:val="22"/>
        </w:rPr>
        <w:t> </w:t>
      </w:r>
      <w:r>
        <w:rPr>
          <w:rFonts w:ascii="Times New Roman" w:hAnsi="Times New Roman"/>
          <w:b w:val="false"/>
          <w:i/>
          <w:color w:val="000000"/>
          <w:sz w:val="22"/>
        </w:rPr>
        <w:t xml:space="preserve">Appeal issue. </w:t>
      </w:r>
      <w:r>
        <w:rPr>
          <w:rFonts w:ascii="Times New Roman" w:hAnsi="Times New Roman"/>
          <w:b w:val="false"/>
          <w:i w:val="false"/>
          <w:color w:val="000000"/>
          <w:sz w:val="22"/>
        </w:rPr>
        <w:t>The issue in appeals held pursuant to these procedures will be limited to the obligee’s entitlement to a support payment that has been collected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441—95.7</w:t>
      </w:r>
      <w:r>
        <w:rPr>
          <w:rFonts w:ascii="Times New Roman" w:hAnsi="Times New Roman"/>
          <w:b/>
          <w:i w:val="false"/>
          <w:color w:val="000000"/>
          <w:sz w:val="22"/>
        </w:rPr>
        <w:t xml:space="preserve">(252B) </w:t>
      </w:r>
      <w:r>
        <w:rPr>
          <w:rFonts w:ascii="Times New Roman" w:hAnsi="Times New Roman"/>
          <w:b/>
          <w:i w:val="false"/>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95.7(1)</w:t>
      </w:r>
      <w:r>
        <w:rPr>
          <w:rFonts w:ascii="Times New Roman" w:hAnsi="Times New Roman"/>
          <w:b w:val="false"/>
          <w:i w:val="false"/>
          <w:color w:val="000000"/>
          <w:sz w:val="22"/>
        </w:rPr>
        <w:t> </w:t>
      </w:r>
      <w:r>
        <w:rPr>
          <w:rFonts w:ascii="Times New Roman" w:hAnsi="Times New Roman"/>
          <w:b w:val="false"/>
          <w:i/>
          <w:color w:val="000000"/>
          <w:sz w:val="22"/>
        </w:rPr>
        <w:t xml:space="preserve">Case closure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terminate services when a case meets at least one of the following case closure criteria and child support services maintains supporting documentation for the case closure decision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no ongoing support obligation and arrearages are under $500 or unenforceable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or alleged father is deceased and no further action, including a levy against the estate, can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is living with the minor child as the primary caregiver, the custodial parent is deceased, and there is no assignment to the state of support or of arrearages that accrued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cannot establish paternity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is at least 18 years old and the statute of limitations bars an action to establish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genetic test or a court or administrative process has excluded the alleged father and no other alleged father can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has determined that it would not be in the best interest of the child to establish paternity in a case that involves incest or rape or a case in which legal proceedings for adoption are pending;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the biological father is unknown and cannot be identified after diligent efforts, including at least one interview by child support services with the recipient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parent’s location is unknown and child support services has made diligent efforts to locate the noncustodial parent using multiple sources, in accordance with regulations in 45 CFR Section 303.3 (as amended to August 1, 2024), all of which have been unsuccessful, within the applicable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 a three-year period when there is sufficient information to initiate an automated locate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 a one-year period when there is not sufficient information to initiate an automated locate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has determined that, throughout the duration of the child’s minority (or after the child has reached the age of majority), the noncustodial parent cannot pay support and shows no evidence of support potential because the parent has been institutionalized in a psychiatric facility, is incarcerated, or has a medically verified total and permanent disability. Child support services must also determine that the noncustodial parent has no income or assets available above the subsistence level that could be levied or attached for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parent’s sole income is from supplemental security income (SSI)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is a citizen of and lives in a foreign country, does not work for the federal government or a company with headquarters or offices in the United States, and has no reachable domestic income or assets and there is no federal or state treaty or reciprocity with the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 a case involving child support services to a person who is not a recipient of public assistance, child support services has provided location-only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has received a written or verbal request from the recipient of services to close the case and there is no assignment to the state of support or of arrearages that accrued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recipient of public assistance, there has been a finding of good cause or other exception in a public assistance case as specified in 441—subrules </w:t>
      </w:r>
      <w:r>
        <w:rPr>
          <w:rFonts w:ascii="Times New Roman" w:hAnsi="Times New Roman"/>
          <w:b w:val="false"/>
          <w:i w:val="false"/>
          <w:color w:val="000000"/>
          <w:sz w:val="22"/>
        </w:rPr>
        <w:t>41.3(6)</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41.6(10)</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75.14(3)</w:t>
      </w:r>
      <w:r>
        <w:rPr>
          <w:rFonts w:ascii="Times New Roman" w:hAnsi="Times New Roman"/>
          <w:b w:val="false"/>
          <w:i w:val="false"/>
          <w:color w:val="000000"/>
          <w:sz w:val="22"/>
        </w:rPr>
        <w:t>, including a determination that support enforcement may not proceed without risk or harm to the child or caretaker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 a case involving child support services to a person who is not a recipient of public assistance or who is a recipient of public assistance receiving Medicaid only, child support services has received information that the address in child support services’ record is no longer current and child support services is unable to contact or otherwise locate the recipient within 60 days following receipt of this information despite a good-faith effort to contact the recipient through at least two different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person who is not a recipient of public assistance or who is a recipient of public assistance receiving Medicaid only, the recipient of services has failed to cooperate with child support services, which documented the circumstances of the noncooperation, and an action by the recipient of services is essential for the next step in providing services. More information is contained in rule </w:t>
      </w:r>
      <w:hyperlink r:id="rId29">
        <w:r>
          <w:rPr>
            <w:rStyle w:val="Hyperlink"/>
            <w:rFonts w:ascii="Times New Roman" w:hAnsi="Times New Roman"/>
            <w:b w:val="false"/>
            <w:i w:val="false"/>
            <w:color w:val="000000"/>
            <w:sz w:val="22"/>
          </w:rPr>
          <w:t>441—95.11</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documents failure by the initiating agency, as defined under 45 CFR Section 301.1 (as amended to August 1, 2024), to take an action that is essential for the next step in providing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initiating agency, as defined under 45 CFR Section 301.1 (as amended to August 1, 2024), has notified child support services that the initiating agency has closed its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The initiating agency, as defined under 45 CFR Section 301.1 (as amended to August 1, 2024), has notified child support services that its intergovernmental services are no longer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Another assistance program, including IV-A, IV-E, SNAP, and Medicaid, has referred to child support services a case for which it is inappropriate to establish, enforce, or continue to enforce a child support order and the custodial or noncustodial parent has not applied for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case meets any other basis for case closure based upon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terminate services when no support or arrearages that accrued under the support order are assigned to the state and the recipient of services requested child support services  to close the case to allow the tribal IV-D agency to start providing services under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close a case and maintain supporting documentation for the case closure decision when the following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is notified that the child is eligible for health care services from the Indian Health Service (IHS);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IV-D case was opened because of a Medicaid referral based solely upon health care services, including the Purchased/Referred Care Program, provided through an Indian health program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1603(12) (as amended to August 1, 2024);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recipient of services requests that child support services 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receives instructions for case closure from an initiating agency as defined under 45 CFR Section 301.1 (as amended to August 1, 2024). Within ten working days, child support services will stop the income withholding order or notice and close the intergovernmental IV-D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95.7(2)</w:t>
      </w:r>
      <w:r>
        <w:rPr>
          <w:rFonts w:ascii="Times New Roman" w:hAnsi="Times New Roman"/>
          <w:b w:val="false"/>
          <w:i w:val="false"/>
          <w:color w:val="000000"/>
          <w:sz w:val="22"/>
        </w:rPr>
        <w:t> </w:t>
      </w:r>
      <w:r>
        <w:rPr>
          <w:rFonts w:ascii="Times New Roman" w:hAnsi="Times New Roman"/>
          <w:b w:val="false"/>
          <w:i/>
          <w:color w:val="000000"/>
          <w:sz w:val="22"/>
        </w:rPr>
        <w:t xml:space="preserve">Case closure notifications. </w:t>
      </w:r>
      <w:r>
        <w:rPr>
          <w:rFonts w:ascii="Times New Roman" w:hAnsi="Times New Roman"/>
          <w:b w:val="false"/>
          <w:i w:val="false"/>
          <w:color w:val="000000"/>
          <w:sz w:val="22"/>
        </w:rPr>
        <w:t xml:space="preserve">In cases meeting one of the criteria of subrule </w:t>
      </w:r>
      <w:r>
        <w:rPr>
          <w:rFonts w:ascii="Times New Roman" w:hAnsi="Times New Roman"/>
          <w:b w:val="false"/>
          <w:i w:val="false"/>
          <w:color w:val="000000"/>
          <w:sz w:val="22"/>
        </w:rPr>
        <w:t>95.7(1)</w:t>
      </w:r>
      <w:r>
        <w:rPr>
          <w:rFonts w:ascii="Times New Roman" w:hAnsi="Times New Roman"/>
          <w:b w:val="false"/>
          <w:i w:val="false"/>
          <w:color w:val="000000"/>
          <w:sz w:val="22"/>
        </w:rPr>
        <w:t xml:space="preserve">, except subparagraph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 xml:space="preserve">(9),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 xml:space="preserve">(10), or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 xml:space="preserve">(11), child support services will send notification of its intent to close the case to the recipient of services or the initiating agency, as defined under 45 CFR Section 301.1 (as amended to August 1, 2024), in writing 60 calendar days before case closure. The notice will be sent to the recipient of services or the state requesting services at the last-known address stating the reason for denying or terminating services, the effective date, and an explanation of the right to request a hearing according to </w:t>
      </w:r>
      <w:hyperlink r:id="rId3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Closure of the case following notification is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in response to the notice, the recipient of services or the initiating agency, as defined under 45 CFR Section 301.1 (as amended to August 1, 2024), supplies information that could lead to the establishment of paternity or a support order or enforcement of an order, the case will be kept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case is to be closed because child support services was unable to contact the recipient of services, as provided in subparagraph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(12), the case shall be kept open if contact is reestablished with the recipient of services before the effective date of the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recipient of services may request to have child support services reopen the case at a later date if there is a change in circumstances that could lead to the establishment of paternity or a support order or enforcement of an order by completing a new application and paying any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recipient of services specifically authorizes consent for electronic notifications, child support services may elect to notify the recipient of services electronically of child support services’ intent to close the case. Child support services must maintain documentation of the recipient’s consent in the case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441—95.8</w:t>
      </w:r>
      <w:r>
        <w:rPr>
          <w:rFonts w:ascii="Times New Roman" w:hAnsi="Times New Roman"/>
          <w:b/>
          <w:i w:val="false"/>
          <w:color w:val="000000"/>
          <w:sz w:val="22"/>
        </w:rPr>
        <w:t xml:space="preserve">(252B) </w:t>
      </w:r>
      <w:r>
        <w:rPr>
          <w:rFonts w:ascii="Times New Roman" w:hAnsi="Times New Roman"/>
          <w:b/>
          <w:i w:val="false"/>
          <w:color w:val="000000"/>
          <w:sz w:val="22"/>
        </w:rPr>
        <w:t xml:space="preserve">Child support services attorney.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95.8(1)</w:t>
      </w:r>
      <w:r>
        <w:rPr>
          <w:rFonts w:ascii="Times New Roman" w:hAnsi="Times New Roman"/>
          <w:b w:val="false"/>
          <w:i w:val="false"/>
          <w:color w:val="000000"/>
          <w:sz w:val="22"/>
        </w:rPr>
        <w:t> </w:t>
      </w:r>
      <w:r>
        <w:rPr>
          <w:rFonts w:ascii="Times New Roman" w:hAnsi="Times New Roman"/>
          <w:b w:val="false"/>
          <w:i/>
          <w:color w:val="000000"/>
          <w:sz w:val="22"/>
        </w:rPr>
        <w:t xml:space="preserve">State’s representative. </w:t>
      </w:r>
      <w:r>
        <w:rPr>
          <w:rFonts w:ascii="Times New Roman" w:hAnsi="Times New Roman"/>
          <w:b w:val="false"/>
          <w:i w:val="false"/>
          <w:color w:val="000000"/>
          <w:sz w:val="22"/>
        </w:rPr>
        <w:t xml:space="preserve">An assistant attorney general, assistant county attorney, or independent contract attorney employed by or under contract with child support services represents only the state of Iowa. The sole attorney-client relationship for the child support services attorney is between the attorney and the state of Iowa. A private attorney acting under Iowa Code section </w:t>
      </w:r>
      <w:hyperlink r:id="rId31">
        <w:r>
          <w:rPr>
            <w:rStyle w:val="Hyperlink"/>
            <w:rFonts w:ascii="Times New Roman" w:hAnsi="Times New Roman"/>
            <w:b w:val="false"/>
            <w:i w:val="false"/>
            <w:color w:val="000000"/>
            <w:sz w:val="22"/>
          </w:rPr>
          <w:t>252B.6A</w:t>
        </w:r>
      </w:hyperlink>
      <w:r>
        <w:rPr>
          <w:rFonts w:ascii="Times New Roman" w:hAnsi="Times New Roman"/>
          <w:b w:val="false"/>
          <w:i w:val="false"/>
          <w:color w:val="000000"/>
          <w:sz w:val="22"/>
        </w:rPr>
        <w:t xml:space="preserve"> is not a child support services attorney and is not a party to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95.8(2)</w:t>
      </w:r>
      <w:r>
        <w:rPr>
          <w:rFonts w:ascii="Times New Roman" w:hAnsi="Times New Roman"/>
          <w:b w:val="false"/>
          <w:i w:val="false"/>
          <w:color w:val="000000"/>
          <w:sz w:val="22"/>
        </w:rPr>
        <w:t> </w:t>
      </w:r>
      <w:r>
        <w:rPr>
          <w:rFonts w:ascii="Times New Roman" w:hAnsi="Times New Roman"/>
          <w:b w:val="false"/>
          <w:i/>
          <w:color w:val="000000"/>
          <w:sz w:val="22"/>
        </w:rPr>
        <w:t xml:space="preserve">Provision of services. </w:t>
      </w:r>
      <w:r>
        <w:rPr>
          <w:rFonts w:ascii="Times New Roman" w:hAnsi="Times New Roman"/>
          <w:b w:val="false"/>
          <w:i w:val="false"/>
          <w:color w:val="000000"/>
          <w:sz w:val="22"/>
        </w:rPr>
        <w:t>The special role of the child support services attorney is limited by the attorney-client relationship between the attorney and the state of Iowa. The provision of legal services by the child support services attorney is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services attorney will not represent any person or entity other than the state of Iowa in the course of the attorney’s employment by or contractual relationship with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issue written disclosure of the attorney-client relationship between the attorney and the state of Iowa to recipients of child support services and to all parties in a review and adjustment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95.8(3)</w:t>
      </w:r>
      <w:r>
        <w:rPr>
          <w:rFonts w:ascii="Times New Roman" w:hAnsi="Times New Roman"/>
          <w:b w:val="false"/>
          <w:i w:val="false"/>
          <w:color w:val="000000"/>
          <w:sz w:val="22"/>
        </w:rPr>
        <w:t> </w:t>
      </w:r>
      <w:r>
        <w:rPr>
          <w:rFonts w:ascii="Times New Roman" w:hAnsi="Times New Roman"/>
          <w:b w:val="false"/>
          <w:i/>
          <w:color w:val="000000"/>
          <w:sz w:val="22"/>
        </w:rPr>
        <w:t xml:space="preserve">Communication concerning case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provide case status information upon written request by any recipient of child support enforcement services or any party under the review and adjustment procedure unless otherwise prohibited by state or federal statute or rules pertaining to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communications with other parties will be directed to those parties personally unless a licensed attorney has entered an appearance or notified child support services in writing that the attorney is representing a party. If any party is represented by counsel, all communications will be directed to counsel for that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party is receiving public assistance, child support services will refer any suspected fraud or questionable FIP expenditures to the appropriate governmental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441—95.9</w:t>
      </w:r>
      <w:r>
        <w:rPr>
          <w:rFonts w:ascii="Times New Roman" w:hAnsi="Times New Roman"/>
          <w:b/>
          <w:i w:val="false"/>
          <w:color w:val="000000"/>
          <w:sz w:val="22"/>
        </w:rPr>
        <w:t xml:space="preserve">(252B) </w:t>
      </w:r>
      <w:r>
        <w:rPr>
          <w:rFonts w:ascii="Times New Roman" w:hAnsi="Times New Roman"/>
          <w:b/>
          <w:i w:val="false"/>
          <w:color w:val="000000"/>
          <w:sz w:val="22"/>
        </w:rPr>
        <w:t xml:space="preserve">Effective date of support. </w:t>
      </w:r>
      <w:r>
        <w:rPr>
          <w:rFonts w:ascii="Times New Roman" w:hAnsi="Times New Roman"/>
          <w:b w:val="false"/>
          <w:i w:val="false"/>
          <w:color w:val="000000"/>
          <w:sz w:val="22"/>
        </w:rPr>
        <w:t>For all original orders established by child support services, the effective date of the support obligation under the orders will be the twentieth day following the date the order is prepared by child support services unless otherwise specified.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441—95.10</w:t>
      </w:r>
      <w:r>
        <w:rPr>
          <w:rFonts w:ascii="Times New Roman" w:hAnsi="Times New Roman"/>
          <w:b/>
          <w:i w:val="false"/>
          <w:color w:val="000000"/>
          <w:sz w:val="22"/>
        </w:rPr>
        <w:t xml:space="preserve">(252B) </w:t>
      </w:r>
      <w:r>
        <w:rPr>
          <w:rFonts w:ascii="Times New Roman" w:hAnsi="Times New Roman"/>
          <w:b/>
          <w:i w:val="false"/>
          <w:color w:val="000000"/>
          <w:sz w:val="22"/>
        </w:rPr>
        <w:t xml:space="preserve">Continued services available to canceled FIP or Medicaid recipients. </w:t>
      </w:r>
      <w:r>
        <w:rPr>
          <w:rFonts w:ascii="Times New Roman" w:hAnsi="Times New Roman"/>
          <w:b w:val="false"/>
          <w:i w:val="false"/>
          <w:color w:val="000000"/>
          <w:sz w:val="22"/>
        </w:rPr>
        <w:t xml:space="preserve">Support services will automatically be provided to persons who were eligible to receive support services as recipients of FIP or Medicaid and who were canceled from FIP or Medicaid. Continued support services will not be provided to a person who has been canceled from FIP or Medicaid when a claim of good cause, as defined at 441—Chapter </w:t>
      </w:r>
      <w:hyperlink r:id="rId32">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or </w:t>
      </w:r>
      <w:hyperlink r:id="rId33">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as appropriate, was valid at the time assistance was canceled or when one of the reasons for termination of services included in rule </w:t>
      </w:r>
      <w:hyperlink r:id="rId34">
        <w:r>
          <w:rPr>
            <w:rStyle w:val="Hyperlink"/>
            <w:rFonts w:ascii="Times New Roman" w:hAnsi="Times New Roman"/>
            <w:b w:val="false"/>
            <w:i w:val="false"/>
            <w:color w:val="000000"/>
            <w:sz w:val="22"/>
          </w:rPr>
          <w:t>441—95.7</w:t>
        </w:r>
      </w:hyperlink>
      <w:r>
        <w:rPr>
          <w:rFonts w:ascii="Times New Roman" w:hAnsi="Times New Roman"/>
          <w:b w:val="false"/>
          <w:i w:val="false"/>
          <w:color w:val="000000"/>
          <w:sz w:val="22"/>
        </w:rPr>
        <w:t>(252B) applies to the case.</w:t>
      </w:r>
    </w:p>
    <w:p>
      <w:pPr>
        <w:spacing w:before="0" w:after="0"/>
        <w:ind w:left="120"/>
        <w:jc w:val="both"/>
      </w:pPr>
      <w:r>
        <w:rPr>
          <w:rFonts w:ascii="Times New Roman" w:hAnsi="Times New Roman"/>
          <w:b w:val="false"/>
          <w:i w:val="false"/>
          <w:color w:val="000000"/>
          <w:sz w:val="22"/>
        </w:rPr>
        <w:t>Support services will be provided to eligible persons without application or application fee, subject to applicable enforcement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95.10(1)</w:t>
      </w:r>
      <w:r>
        <w:rPr>
          <w:rFonts w:ascii="Times New Roman" w:hAnsi="Times New Roman"/>
          <w:b w:val="false"/>
          <w:i w:val="false"/>
          <w:color w:val="000000"/>
          <w:sz w:val="22"/>
        </w:rPr>
        <w:t> </w:t>
      </w:r>
      <w:r>
        <w:rPr>
          <w:rFonts w:ascii="Times New Roman" w:hAnsi="Times New Roman"/>
          <w:b w:val="false"/>
          <w:i/>
          <w:color w:val="000000"/>
          <w:sz w:val="22"/>
        </w:rPr>
        <w:t xml:space="preserve">Notice of services. </w:t>
      </w:r>
      <w:r>
        <w:rPr>
          <w:rFonts w:ascii="Times New Roman" w:hAnsi="Times New Roman"/>
          <w:b w:val="false"/>
          <w:i w:val="false"/>
          <w:color w:val="000000"/>
          <w:sz w:val="22"/>
        </w:rPr>
        <w:t>When a family is no longer eligible for public assistance, the department will forward a form prescribed by the department to the family’s last-known address within five working days of the notification of ineligibility to inform the family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the family notifies the department to the contrary, services will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effect of continuing to receive support services, including the available services and the state’s policies on fees, cost recovery, and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95.10(2)</w:t>
      </w:r>
      <w:r>
        <w:rPr>
          <w:rFonts w:ascii="Times New Roman" w:hAnsi="Times New Roman"/>
          <w:b w:val="false"/>
          <w:i w:val="false"/>
          <w:color w:val="000000"/>
          <w:sz w:val="22"/>
        </w:rPr>
        <w:t> </w:t>
      </w:r>
      <w:r>
        <w:rPr>
          <w:rFonts w:ascii="Times New Roman" w:hAnsi="Times New Roman"/>
          <w:b w:val="false"/>
          <w:i/>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may request that the department terminate support services at any time by completing and returning a form prescribed by the department, or in any other form of written communication,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Continued support services may be terminated at any time for any of the reasons included in rule </w:t>
      </w:r>
      <w:hyperlink r:id="rId35">
        <w:r>
          <w:rPr>
            <w:rStyle w:val="Hyperlink"/>
            <w:rFonts w:ascii="Times New Roman" w:hAnsi="Times New Roman"/>
            <w:b w:val="false"/>
            <w:i w:val="false"/>
            <w:color w:val="000000"/>
            <w:sz w:val="22"/>
          </w:rPr>
          <w:t>441—95.7</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95.10(3)</w:t>
      </w:r>
      <w:r>
        <w:rPr>
          <w:rFonts w:ascii="Times New Roman" w:hAnsi="Times New Roman"/>
          <w:b w:val="false"/>
          <w:i w:val="false"/>
          <w:color w:val="000000"/>
          <w:sz w:val="22"/>
        </w:rPr>
        <w:t> </w:t>
      </w:r>
      <w:r>
        <w:rPr>
          <w:rFonts w:ascii="Times New Roman" w:hAnsi="Times New Roman"/>
          <w:b w:val="false"/>
          <w:i/>
          <w:color w:val="000000"/>
          <w:sz w:val="22"/>
        </w:rPr>
        <w:t xml:space="preserve">Reapplication for services. </w:t>
      </w:r>
      <w:r>
        <w:rPr>
          <w:rFonts w:ascii="Times New Roman" w:hAnsi="Times New Roman"/>
          <w:b w:val="false"/>
          <w:i w:val="false"/>
          <w:color w:val="000000"/>
          <w:sz w:val="22"/>
        </w:rPr>
        <w:t xml:space="preserve">A person whose services were denied or terminated may reapply for services by completing the application process described in subrule </w:t>
      </w:r>
      <w:r>
        <w:rPr>
          <w:rFonts w:ascii="Times New Roman" w:hAnsi="Times New Roman"/>
          <w:b w:val="false"/>
          <w:i w:val="false"/>
          <w:color w:val="000000"/>
          <w:sz w:val="22"/>
        </w:rPr>
        <w:t>95.2(2)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441—95.11</w:t>
      </w:r>
      <w:r>
        <w:rPr>
          <w:rFonts w:ascii="Times New Roman" w:hAnsi="Times New Roman"/>
          <w:b/>
          <w:i w:val="false"/>
          <w:color w:val="000000"/>
          <w:sz w:val="22"/>
        </w:rPr>
        <w:t xml:space="preserve">(252B) </w:t>
      </w:r>
      <w:r>
        <w:rPr>
          <w:rFonts w:ascii="Times New Roman" w:hAnsi="Times New Roman"/>
          <w:b/>
          <w:i w:val="false"/>
          <w:color w:val="000000"/>
          <w:sz w:val="22"/>
        </w:rPr>
        <w:t xml:space="preserve">Cooperation of public assistance recipients in establishing and obtaining support. </w:t>
      </w:r>
      <w:r>
        <w:rPr>
          <w:rFonts w:ascii="Times New Roman" w:hAnsi="Times New Roman"/>
          <w:b w:val="false"/>
          <w:i w:val="false"/>
          <w:color w:val="000000"/>
          <w:sz w:val="22"/>
        </w:rPr>
        <w:t>If a person who is a recipient of FIP or Medicaid is required to cooperate with child support services in establishing paternity; in establishing, modifying, or enforcing child or medical support; or in enforcing spousal support,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95.11(1)</w:t>
      </w:r>
      <w:r>
        <w:rPr>
          <w:rFonts w:ascii="Times New Roman" w:hAnsi="Times New Roman"/>
          <w:b w:val="false"/>
          <w:i w:val="false"/>
          <w:color w:val="000000"/>
          <w:sz w:val="22"/>
        </w:rPr>
        <w:t> </w:t>
      </w:r>
      <w:r>
        <w:rPr>
          <w:rFonts w:ascii="Times New Roman" w:hAnsi="Times New Roman"/>
          <w:b w:val="false"/>
          <w:i/>
          <w:color w:val="000000"/>
          <w:sz w:val="22"/>
        </w:rPr>
        <w:t xml:space="preserve">Cooperation defined. </w:t>
      </w:r>
      <w:r>
        <w:rPr>
          <w:rFonts w:ascii="Times New Roman" w:hAnsi="Times New Roman"/>
          <w:b w:val="false"/>
          <w:i w:val="false"/>
          <w:color w:val="000000"/>
          <w:sz w:val="22"/>
        </w:rPr>
        <w:t xml:space="preserve">The person will cooperate in good faith in obtaining support for persons whose needs are included in the assistance grant or Medicaid household, except when good cause or other exception as defined in 441—Chapter </w:t>
      </w:r>
      <w:hyperlink r:id="rId36">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for refusal to cooperate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will cooperate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and locating the parent of the child for whom assistance or Medicaid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the paternity of a child born out of wedlock for whom assistance or Medicaid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support payments for the person and the child for whom assistance is claimed and obtaining medical support for the person and child for whom Medicaid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Cooperation includes the following actions by the person if the action is requested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the name of the noncustodial parent and additional necessary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Appearing at child support services to provide verbal or written information or documentary evidence known to, possessed by, or reasonably obtained by the person that is relevant to achieving the objectives of the child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Appearing at judicial or other hearings, proceedings, or interviews.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Providing information or attesting to the lack of information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paternity of the child has not been legally established, submitting to blood or genetic tests pursuant to a judicial or administrative order. The person may be requested to sign a voluntary affidavit of paternity after being given notice of the rights and consequences of signing such an affidavit as required by Iowa Code section </w:t>
      </w:r>
      <w:hyperlink r:id="rId38">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 However, the person will not be required to sign an affidavit or otherwise relinquish the right to blood or genetic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will cooperate with child support services to the extent of supplying all known information and documents pertaining to the location of the noncustodial parent and taking action as may be necessary to secure or enforce a support obligation, establish paternity, or secure medical support. A person’s cooperation with child support services includes completing and signing a form prescribed by the department, if requested, as well as documents determined to be necessary by the state’s attorney for any relevant judicial or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95.11(2)</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Child support services will make the determination of whether a person has cooperated. Child support services will promptly send notice of a determination of noncooperation to the person on a form prescribed by the department and notify the FIP and Medicaid programs, as appropriate, of the noncooperation determination and the reason for the determination. The FIP and Medicaid programs will take appropriate sanctioning actions as provided in statute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95.11(3)</w:t>
      </w:r>
      <w:r>
        <w:rPr>
          <w:rFonts w:ascii="Times New Roman" w:hAnsi="Times New Roman"/>
          <w:b w:val="false"/>
          <w:i w:val="false"/>
          <w:color w:val="000000"/>
          <w:sz w:val="22"/>
        </w:rPr>
        <w:t> </w:t>
      </w:r>
      <w:r>
        <w:rPr>
          <w:rFonts w:ascii="Times New Roman" w:hAnsi="Times New Roman"/>
          <w:b w:val="false"/>
          <w:i/>
          <w:color w:val="000000"/>
          <w:sz w:val="22"/>
        </w:rPr>
        <w:t xml:space="preserve">Good cause or other exception.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 recipient of FIP assistance may claim a good cause or other exception for not cooperating, taking into consideration the best interests of the child as provided in </w:t>
      </w:r>
      <w:hyperlink r:id="rId39">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 recipient of Medicaid may claim a good cause or other exception for not cooperating, taking into consideration the best interests of the child as provided in </w:t>
      </w:r>
      <w:hyperlink r:id="rId4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441—95.12</w:t>
      </w:r>
      <w:r>
        <w:rPr>
          <w:rFonts w:ascii="Times New Roman" w:hAnsi="Times New Roman"/>
          <w:b/>
          <w:i w:val="false"/>
          <w:color w:val="000000"/>
          <w:sz w:val="22"/>
        </w:rPr>
        <w:t xml:space="preserve">(252B) </w:t>
      </w:r>
      <w:r>
        <w:rPr>
          <w:rFonts w:ascii="Times New Roman" w:hAnsi="Times New Roman"/>
          <w:b/>
          <w:i w:val="false"/>
          <w:color w:val="000000"/>
          <w:sz w:val="22"/>
        </w:rPr>
        <w:t xml:space="preserve">Cooperation of public assistance applicants in establishing and obtaining support. </w:t>
      </w:r>
      <w:r>
        <w:rPr>
          <w:rFonts w:ascii="Times New Roman" w:hAnsi="Times New Roman"/>
          <w:b w:val="false"/>
          <w:i w:val="false"/>
          <w:color w:val="000000"/>
          <w:sz w:val="22"/>
        </w:rPr>
        <w:t xml:space="preserve">If a person who is an applicant of FIP or Medicaid is required to cooperate in establishing paternity; in establishing, modifying, or enforcing child or medical support; or in enforcing spousal support, the requirements in 441—Chapters </w:t>
      </w:r>
      <w:hyperlink r:id="rId41">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apply. The appropriate staff in the FIP and Medicaid programs are designees of child support services to determine noncooperation and issue notices of that determination until the referral to child support services is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441—95.13</w:t>
      </w:r>
      <w:r>
        <w:rPr>
          <w:rFonts w:ascii="Times New Roman" w:hAnsi="Times New Roman"/>
          <w:b/>
          <w:i w:val="false"/>
          <w:color w:val="000000"/>
          <w:sz w:val="22"/>
        </w:rPr>
        <w:t xml:space="preserve">(252B) </w:t>
      </w:r>
      <w:r>
        <w:rPr>
          <w:rFonts w:ascii="Times New Roman" w:hAnsi="Times New Roman"/>
          <w:b/>
          <w:i w:val="false"/>
          <w:color w:val="000000"/>
          <w:sz w:val="22"/>
        </w:rPr>
        <w:t xml:space="preserve">Cooperation in establishing and obtaining support in nonpublic assistance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The person receiving nonpublic assistance support services will cooperate with child support services by meeting all the requirements of rule </w:t>
      </w:r>
      <w:hyperlink r:id="rId43">
        <w:r>
          <w:rPr>
            <w:rStyle w:val="Hyperlink"/>
            <w:rFonts w:ascii="Times New Roman" w:hAnsi="Times New Roman"/>
            <w:b w:val="false"/>
            <w:i w:val="false"/>
            <w:color w:val="000000"/>
            <w:sz w:val="22"/>
          </w:rPr>
          <w:t>441—95.11</w:t>
        </w:r>
      </w:hyperlink>
      <w:r>
        <w:rPr>
          <w:rFonts w:ascii="Times New Roman" w:hAnsi="Times New Roman"/>
          <w:b w:val="false"/>
          <w:i w:val="false"/>
          <w:color w:val="000000"/>
          <w:sz w:val="22"/>
        </w:rPr>
        <w:t>(252B), except that the person may not claim good cause or other exception for not cooperating.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95.13(2)</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 xml:space="preserve">Child support services will make the determination of whether or not the nonpublic assistance applicant or recipient of services has cooperated. Noncooperation will result in termination of support services. An applicant or recipient may also request termination of services under subparagraph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441—95.14</w:t>
      </w:r>
      <w:r>
        <w:rPr>
          <w:rFonts w:ascii="Times New Roman" w:hAnsi="Times New Roman"/>
          <w:b/>
          <w:i w:val="false"/>
          <w:color w:val="000000"/>
          <w:sz w:val="22"/>
        </w:rPr>
        <w:t xml:space="preserve">(252B) </w:t>
      </w:r>
      <w:r>
        <w:rPr>
          <w:rFonts w:ascii="Times New Roman" w:hAnsi="Times New Roman"/>
          <w:b/>
          <w:i w:val="false"/>
          <w:color w:val="000000"/>
          <w:sz w:val="22"/>
        </w:rPr>
        <w:t xml:space="preserve">Charging pass-through fees. </w:t>
      </w:r>
      <w:r>
        <w:rPr>
          <w:rFonts w:ascii="Times New Roman" w:hAnsi="Times New Roman"/>
          <w:b w:val="false"/>
          <w:i w:val="false"/>
          <w:color w:val="000000"/>
          <w:sz w:val="22"/>
        </w:rPr>
        <w:t xml:space="preserve">Pass-through fees are fees or costs incurred by the department for service of process, genetic testing, and court costs if the entity providing the service charges a fee for services. Child support services may charge pass-through fees to persons who receive continued services according to </w:t>
      </w:r>
      <w:hyperlink r:id="rId44">
        <w:r>
          <w:rPr>
            <w:rStyle w:val="Hyperlink"/>
            <w:rFonts w:ascii="Times New Roman" w:hAnsi="Times New Roman"/>
            <w:b w:val="false"/>
            <w:i w:val="false"/>
            <w:color w:val="000000"/>
            <w:sz w:val="22"/>
          </w:rPr>
          <w:t>441—95.10</w:t>
        </w:r>
      </w:hyperlink>
      <w:r>
        <w:rPr>
          <w:rFonts w:ascii="Times New Roman" w:hAnsi="Times New Roman"/>
          <w:b w:val="false"/>
          <w:i w:val="false"/>
          <w:color w:val="000000"/>
          <w:sz w:val="22"/>
        </w:rPr>
        <w:t xml:space="preserve">(252B) and to other persons receiving nonassistance services, except no fees may be charged to an obligee residing in a foreign country or to a foreign country if child support services is providing services under paragraph </w:t>
      </w:r>
      <w:r>
        <w:rPr>
          <w:rFonts w:ascii="Times New Roman" w:hAnsi="Times New Roman"/>
          <w:b w:val="false"/>
          <w:i w:val="false"/>
          <w:color w:val="000000"/>
          <w:sz w:val="22"/>
        </w:rPr>
        <w:t>95.2(2)</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441—95.15</w:t>
      </w:r>
      <w:r>
        <w:rPr>
          <w:rFonts w:ascii="Times New Roman" w:hAnsi="Times New Roman"/>
          <w:b/>
          <w:i w:val="false"/>
          <w:color w:val="000000"/>
          <w:sz w:val="22"/>
        </w:rPr>
        <w:t xml:space="preserve">(252B) </w:t>
      </w:r>
      <w:r>
        <w:rPr>
          <w:rFonts w:ascii="Times New Roman" w:hAnsi="Times New Roman"/>
          <w:b/>
          <w:i w:val="false"/>
          <w:color w:val="000000"/>
          <w:sz w:val="22"/>
        </w:rPr>
        <w:t xml:space="preserve">Reimbursing assistance with collections of assigned support. </w:t>
      </w:r>
      <w:r>
        <w:rPr>
          <w:rFonts w:ascii="Times New Roman" w:hAnsi="Times New Roman"/>
          <w:b w:val="false"/>
          <w:i w:val="false"/>
          <w:color w:val="000000"/>
          <w:sz w:val="22"/>
        </w:rPr>
        <w:t xml:space="preserve">For an obligee and child who currently receive assistance under FIP, the full amount of any assigned support collection that the department receives will be distributed according to rule </w:t>
      </w:r>
      <w:hyperlink r:id="rId45">
        <w:r>
          <w:rPr>
            <w:rStyle w:val="Hyperlink"/>
            <w:rFonts w:ascii="Times New Roman" w:hAnsi="Times New Roman"/>
            <w:b w:val="false"/>
            <w:i w:val="false"/>
            <w:color w:val="000000"/>
            <w:sz w:val="22"/>
          </w:rPr>
          <w:t>441—95.10</w:t>
        </w:r>
      </w:hyperlink>
      <w:r>
        <w:rPr>
          <w:rFonts w:ascii="Times New Roman" w:hAnsi="Times New Roman"/>
          <w:b w:val="false"/>
          <w:i w:val="false"/>
          <w:color w:val="000000"/>
          <w:sz w:val="22"/>
        </w:rPr>
        <w:t>(252B) and retained by the department to reimburse the FIP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441—95.16</w:t>
      </w:r>
      <w:r>
        <w:rPr>
          <w:rFonts w:ascii="Times New Roman" w:hAnsi="Times New Roman"/>
          <w:b/>
          <w:i w:val="false"/>
          <w:color w:val="000000"/>
          <w:sz w:val="22"/>
        </w:rPr>
        <w:t xml:space="preserve">(252B) </w:t>
      </w:r>
      <w:r>
        <w:rPr>
          <w:rFonts w:ascii="Times New Roman" w:hAnsi="Times New Roman"/>
          <w:b/>
          <w:i w:val="false"/>
          <w:color w:val="000000"/>
          <w:sz w:val="22"/>
        </w:rPr>
        <w:t xml:space="preserve">Child support account. </w:t>
      </w:r>
      <w:r>
        <w:rPr>
          <w:rFonts w:ascii="Times New Roman" w:hAnsi="Times New Roman"/>
          <w:b w:val="false"/>
          <w:i w:val="false"/>
          <w:color w:val="000000"/>
          <w:sz w:val="22"/>
        </w:rPr>
        <w:t>Child support services will maintain a child support account for each client. The account, representing money due the department, will cover all periods of time public assistance has been paid, commencing with the date of the assignment. Child support services will not maintain an interest-bearing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441—95.17</w:t>
      </w:r>
      <w:r>
        <w:rPr>
          <w:rFonts w:ascii="Times New Roman" w:hAnsi="Times New Roman"/>
          <w:b/>
          <w:i w:val="false"/>
          <w:color w:val="000000"/>
          <w:sz w:val="22"/>
        </w:rPr>
        <w:t xml:space="preserve">(252B) </w:t>
      </w:r>
      <w:r>
        <w:rPr>
          <w:rFonts w:ascii="Times New Roman" w:hAnsi="Times New Roman"/>
          <w:b/>
          <w:i w:val="false"/>
          <w:color w:val="000000"/>
          <w:sz w:val="22"/>
        </w:rPr>
        <w:t xml:space="preserve">Emancipation verification. </w:t>
      </w:r>
      <w:r>
        <w:rPr>
          <w:rFonts w:ascii="Times New Roman" w:hAnsi="Times New Roman"/>
          <w:b w:val="false"/>
          <w:i w:val="false"/>
          <w:color w:val="000000"/>
          <w:sz w:val="22"/>
        </w:rPr>
        <w:t>Child support services may verify whether a child will emancipate according to the provisions established in the court order prior to the child’s eighteenth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95.17(1)</w:t>
      </w:r>
      <w:r>
        <w:rPr>
          <w:rFonts w:ascii="Times New Roman" w:hAnsi="Times New Roman"/>
          <w:b w:val="false"/>
          <w:i w:val="false"/>
          <w:color w:val="000000"/>
          <w:sz w:val="22"/>
        </w:rPr>
        <w:t> </w:t>
      </w:r>
      <w:r>
        <w:rPr>
          <w:rFonts w:ascii="Times New Roman" w:hAnsi="Times New Roman"/>
          <w:b w:val="false"/>
          <w:i/>
          <w:color w:val="000000"/>
          <w:sz w:val="22"/>
        </w:rPr>
        <w:t xml:space="preserve">Verification process. </w:t>
      </w:r>
      <w:r>
        <w:rPr>
          <w:rFonts w:ascii="Times New Roman" w:hAnsi="Times New Roman"/>
          <w:b w:val="false"/>
          <w:i w:val="false"/>
          <w:color w:val="000000"/>
          <w:sz w:val="22"/>
        </w:rPr>
        <w:t>Child support services will send a form prescribed by the department to the obligor and obligee on a case if child support services has an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95.17(2)</w:t>
      </w:r>
      <w:r>
        <w:rPr>
          <w:rFonts w:ascii="Times New Roman" w:hAnsi="Times New Roman"/>
          <w:b w:val="false"/>
          <w:i w:val="false"/>
          <w:color w:val="000000"/>
          <w:sz w:val="22"/>
        </w:rPr>
        <w:t> </w:t>
      </w:r>
      <w:r>
        <w:rPr>
          <w:rFonts w:ascii="Times New Roman" w:hAnsi="Times New Roman"/>
          <w:b w:val="false"/>
          <w:i/>
          <w:color w:val="000000"/>
          <w:sz w:val="22"/>
        </w:rPr>
        <w:t xml:space="preserve">Return information. </w:t>
      </w:r>
      <w:r>
        <w:rPr>
          <w:rFonts w:ascii="Times New Roman" w:hAnsi="Times New Roman"/>
          <w:b w:val="false"/>
          <w:i w:val="false"/>
          <w:color w:val="000000"/>
          <w:sz w:val="22"/>
        </w:rPr>
        <w:t>The obligor and obligee will be asked to complete and return the form to child support services. Child support services will use the information provided by the obligor or obligee to determine if the status of the child indicates that any previously ordered adjustments related to the obligation and a child’s emancipation are necessary on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95.17(3)</w:t>
      </w:r>
      <w:r>
        <w:rPr>
          <w:rFonts w:ascii="Times New Roman" w:hAnsi="Times New Roman"/>
          <w:b w:val="false"/>
          <w:i w:val="false"/>
          <w:color w:val="000000"/>
          <w:sz w:val="22"/>
        </w:rPr>
        <w:t> </w:t>
      </w:r>
      <w:r>
        <w:rPr>
          <w:rFonts w:ascii="Times New Roman" w:hAnsi="Times New Roman"/>
          <w:b w:val="false"/>
          <w:i/>
          <w:color w:val="000000"/>
          <w:sz w:val="22"/>
        </w:rPr>
        <w:t xml:space="preserve">Failure to return information. </w:t>
      </w:r>
      <w:r>
        <w:rPr>
          <w:rFonts w:ascii="Times New Roman" w:hAnsi="Times New Roman"/>
          <w:b w:val="false"/>
          <w:i w:val="false"/>
          <w:color w:val="000000"/>
          <w:sz w:val="22"/>
        </w:rPr>
        <w:t>If the obligor and obligee fail to return the questionnaire, child support services will apply the earliest emancipation date established in the support order to the case and implement changes in support amounts required in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95.17(4)</w:t>
      </w:r>
      <w:r>
        <w:rPr>
          <w:rFonts w:ascii="Times New Roman" w:hAnsi="Times New Roman"/>
          <w:b w:val="false"/>
          <w:i w:val="false"/>
          <w:color w:val="000000"/>
          <w:sz w:val="22"/>
        </w:rPr>
        <w:t> </w:t>
      </w:r>
      <w:r>
        <w:rPr>
          <w:rFonts w:ascii="Times New Roman" w:hAnsi="Times New Roman"/>
          <w:b w:val="false"/>
          <w:i/>
          <w:color w:val="000000"/>
          <w:sz w:val="22"/>
        </w:rPr>
        <w:t xml:space="preserve">Conflicting information returned. </w:t>
      </w:r>
      <w:r>
        <w:rPr>
          <w:rFonts w:ascii="Times New Roman" w:hAnsi="Times New Roman"/>
          <w:b w:val="false"/>
          <w:i w:val="false"/>
          <w:color w:val="000000"/>
          <w:sz w:val="22"/>
        </w:rPr>
        <w:t>If conflicting information is returned or made known to child support services, child support services will have the right to verify the child’s status through sources other than the obligor and obligee.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441—95.18</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chapter, an administrative appeal pursuant to </w:t>
      </w:r>
      <w:hyperlink r:id="rId4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will be limited to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entitled to a support payment in full or in part because of the date of collection, as provided under rule </w:t>
      </w:r>
      <w:hyperlink r:id="rId47">
        <w:r>
          <w:rPr>
            <w:rStyle w:val="Hyperlink"/>
            <w:rFonts w:ascii="Times New Roman" w:hAnsi="Times New Roman"/>
            <w:b w:val="false"/>
            <w:i w:val="false"/>
            <w:color w:val="000000"/>
            <w:sz w:val="22"/>
          </w:rPr>
          <w:t>441—95.6</w:t>
        </w:r>
      </w:hyperlink>
      <w:r>
        <w:rPr>
          <w:rFonts w:ascii="Times New Roman" w:hAnsi="Times New Roman"/>
          <w:b w:val="false"/>
          <w:i w:val="false"/>
          <w:color w:val="000000"/>
          <w:sz w:val="22"/>
        </w:rPr>
        <w:t>(17A), or a dispute based on the date of collection has not been acted on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termination in services has occurred as provided in rule </w:t>
      </w:r>
      <w:hyperlink r:id="rId48">
        <w:r>
          <w:rPr>
            <w:rStyle w:val="Hyperlink"/>
            <w:rFonts w:ascii="Times New Roman" w:hAnsi="Times New Roman"/>
            <w:b w:val="false"/>
            <w:i w:val="false"/>
            <w:color w:val="000000"/>
            <w:sz w:val="22"/>
          </w:rPr>
          <w:t>441—95.7</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will not be granted under </w:t>
      </w:r>
      <w:hyperlink r:id="rId4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when an appellant has a complaint about child support services collections actions other than those described in this rule. This includes the collection of an annual fee for child support services as specified in Iowa Code chapter </w:t>
      </w:r>
      <w:hyperlink r:id="rId5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441—95.19</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record. </w:t>
      </w:r>
      <w:r>
        <w:rPr>
          <w:rFonts w:ascii="Times New Roman" w:hAnsi="Times New Roman"/>
          <w:b w:val="false"/>
          <w:i w:val="false"/>
          <w:color w:val="000000"/>
          <w:sz w:val="22"/>
        </w:rPr>
        <w:t xml:space="preserve">The record in an administrative appeal under this rule will include, in addition to those materials specified in Iowa Code section </w:t>
      </w:r>
      <w:hyperlink r:id="rId51">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the notice of appeal and the verbatim record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52">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emergency 11/21/80 after Notice 10/1/80—published 12/10/80, effective 11/21/80]</w:t>
      </w:r>
    </w:p>
    <w:p>
      <w:pPr>
        <w:spacing w:before="0" w:after="0"/>
        <w:ind w:left="120"/>
        <w:jc w:val="center"/>
      </w:pPr>
      <w:r>
        <w:rPr>
          <w:rFonts w:ascii="Times New Roman" w:hAnsi="Times New Roman"/>
          <w:b w:val="false"/>
          <w:i w:val="false"/>
          <w:color w:val="000000"/>
          <w:sz w:val="21"/>
        </w:rPr>
        <w:t>[Filed 10/23/81, Notice 9/2/81—published 11/11/81, effective 12/16/81]</w:t>
      </w:r>
    </w:p>
    <w:p>
      <w:pPr>
        <w:spacing w:before="0" w:after="0"/>
        <w:ind w:left="120"/>
        <w:jc w:val="center"/>
      </w:pPr>
      <w:r>
        <w:rPr>
          <w:rFonts w:ascii="Times New Roman" w:hAnsi="Times New Roman"/>
          <w:b w:val="false"/>
          <w:i w:val="false"/>
          <w:color w:val="000000"/>
          <w:sz w:val="21"/>
        </w:rPr>
        <w:t>[Filed 11/19/82, Notice 9/29/82—published 12/8/82, effective 1/12/83]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11/18/83, Notice 9/28/83—published 12/7/83, effective 2/1/84]</w:t>
      </w:r>
    </w:p>
    <w:p>
      <w:pPr>
        <w:spacing w:before="0" w:after="0"/>
        <w:ind w:left="120"/>
        <w:jc w:val="center"/>
      </w:pPr>
      <w:r>
        <w:rPr>
          <w:rFonts w:ascii="Times New Roman" w:hAnsi="Times New Roman"/>
          <w:b w:val="false"/>
          <w:i w:val="false"/>
          <w:color w:val="000000"/>
          <w:sz w:val="21"/>
        </w:rPr>
        <w:t>[Filed 8/31/84, Notice 7/18/84—published 9/26/84, effective 11/1/84]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7/26/85, Notice 5/22/85—published 8/14/85, effective 10/1/85]</w:t>
      </w:r>
    </w:p>
    <w:p>
      <w:pPr>
        <w:spacing w:before="0" w:after="0"/>
        <w:ind w:left="120"/>
        <w:jc w:val="center"/>
      </w:pPr>
      <w:r>
        <w:rPr>
          <w:rFonts w:ascii="Times New Roman" w:hAnsi="Times New Roman"/>
          <w:b w:val="false"/>
          <w:i w:val="false"/>
          <w:color w:val="000000"/>
          <w:sz w:val="21"/>
        </w:rPr>
        <w:t>[Filed 5/28/86, Notice 3/26/86—published 6/18/86, effective 8/1/86]</w:t>
      </w:r>
    </w:p>
    <w:p>
      <w:pPr>
        <w:spacing w:before="0" w:after="0"/>
        <w:ind w:left="120"/>
        <w:jc w:val="center"/>
      </w:pPr>
      <w:r>
        <w:rPr>
          <w:rFonts w:ascii="Times New Roman" w:hAnsi="Times New Roman"/>
          <w:b w:val="false"/>
          <w:i w:val="false"/>
          <w:color w:val="000000"/>
          <w:sz w:val="21"/>
        </w:rPr>
        <w:t>[Filed 12/22/86, Notice 11/5/86—published 1/14/87, effective 3/1/87]</w:t>
      </w:r>
    </w:p>
    <w:p>
      <w:pPr>
        <w:spacing w:before="0" w:after="0"/>
        <w:ind w:left="120"/>
        <w:jc w:val="center"/>
      </w:pPr>
      <w:r>
        <w:rPr>
          <w:rFonts w:ascii="Times New Roman" w:hAnsi="Times New Roman"/>
          <w:b w:val="false"/>
          <w:i w:val="false"/>
          <w:color w:val="000000"/>
          <w:sz w:val="21"/>
        </w:rPr>
        <w:t>[Filed 12/11/86, Notice 11/5/86—published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7/14/89 after Notice 5/31/89—published 8/9/89, effective 8/1/89]</w:t>
      </w:r>
    </w:p>
    <w:p>
      <w:pPr>
        <w:spacing w:before="0" w:after="0"/>
        <w:ind w:left="120"/>
        <w:jc w:val="center"/>
      </w:pPr>
      <w:r>
        <w:rPr>
          <w:rFonts w:ascii="Times New Roman" w:hAnsi="Times New Roman"/>
          <w:b w:val="false"/>
          <w:i w:val="false"/>
          <w:color w:val="000000"/>
          <w:sz w:val="21"/>
        </w:rPr>
        <w:t>[Filed 12/15/89, Notice 11/1/89—published 1/10/90, effective 3/1/90]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emergency 10/12/90 after Notice 8/22/90—published 10/31/90, effective 10/13/90]</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10/9/96, Notice 8/14/96—published 11/6/96, effective 1/1/97]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5/14/99, Notice 3/24/99—published 6/2/99, effective 8/1/99]</w:t>
      </w:r>
    </w:p>
    <w:p>
      <w:pPr>
        <w:spacing w:before="0" w:after="0"/>
        <w:ind w:left="120"/>
        <w:jc w:val="center"/>
      </w:pPr>
      <w:r>
        <w:rPr>
          <w:rFonts w:ascii="Times New Roman" w:hAnsi="Times New Roman"/>
          <w:b w:val="false"/>
          <w:i w:val="false"/>
          <w:color w:val="000000"/>
          <w:sz w:val="21"/>
        </w:rPr>
        <w:t>[Filed 7/14/99, Notice 5/19/99—published 8/11/99, effective 10/1/99]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12/8/99, Notice 10/20/99—published 12/29/99, effective 3/1/00]</w:t>
      </w:r>
    </w:p>
    <w:p>
      <w:pPr>
        <w:spacing w:before="0" w:after="0"/>
        <w:ind w:left="120"/>
        <w:jc w:val="center"/>
      </w:pPr>
      <w:r>
        <w:rPr>
          <w:rFonts w:ascii="Times New Roman" w:hAnsi="Times New Roman"/>
          <w:b w:val="false"/>
          <w:i w:val="false"/>
          <w:color w:val="000000"/>
          <w:sz w:val="21"/>
        </w:rPr>
        <w:t>[Filed emergency 6/8/00—published 6/28/00, effective 6/8/00]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10/14/04, Notices 8/4/04, 8/18/04—published 11/10/04, effective 1/1/05]</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9177B</w:t>
      </w:r>
      <w:r>
        <w:rPr>
          <w:rFonts w:ascii="Times New Roman" w:hAnsi="Times New Roman"/>
          <w:b w:val="false"/>
          <w:i w:val="false"/>
          <w:color w:val="000000"/>
          <w:sz w:val="21"/>
        </w:rPr>
        <w:t xml:space="preserve"> (Notice ARC 9026B,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ARC 1357C</w:t>
      </w:r>
      <w:r>
        <w:rPr>
          <w:rFonts w:ascii="Times New Roman" w:hAnsi="Times New Roman"/>
          <w:b w:val="false"/>
          <w:i w:val="false"/>
          <w:color w:val="000000"/>
          <w:sz w:val="21"/>
        </w:rPr>
        <w:t xml:space="preserve"> (Notice ARC 1228C, IAB 12/11/13)</w:t>
      </w:r>
      <w:r>
        <w:rPr>
          <w:rFonts w:ascii="Times New Roman" w:hAnsi="Times New Roman"/>
          <w:b w:val="false"/>
          <w:i w:val="false"/>
          <w:color w:val="000000"/>
          <w:sz w:val="21"/>
        </w:rPr>
        <w:t>, IAB 3/5/14, effective 5/1/14]</w:t>
      </w:r>
    </w:p>
    <w:p>
      <w:pPr>
        <w:spacing w:before="0" w:after="0"/>
        <w:ind w:left="120"/>
        <w:jc w:val="center"/>
      </w:pPr>
      <w:r>
        <w:rPr>
          <w:rFonts w:ascii="Times New Roman" w:hAnsi="Times New Roman"/>
          <w:b w:val="false"/>
          <w:i w:val="false"/>
          <w:color w:val="000000"/>
          <w:sz w:val="21"/>
        </w:rPr>
        <w:t>[Filed ARC 3719C</w:t>
      </w:r>
      <w:r>
        <w:rPr>
          <w:rFonts w:ascii="Times New Roman" w:hAnsi="Times New Roman"/>
          <w:b w:val="false"/>
          <w:i w:val="false"/>
          <w:color w:val="000000"/>
          <w:sz w:val="21"/>
        </w:rPr>
        <w:t xml:space="preserve"> (Notice ARC 3595C, IAB 1/31/18)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ARC 4901C</w:t>
      </w:r>
      <w:r>
        <w:rPr>
          <w:rFonts w:ascii="Times New Roman" w:hAnsi="Times New Roman"/>
          <w:b w:val="false"/>
          <w:i w:val="false"/>
          <w:color w:val="000000"/>
          <w:sz w:val="21"/>
        </w:rPr>
        <w:t xml:space="preserve"> (Notice ARC 4764C, IAB 11/20/19)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6778C</w:t>
      </w:r>
      <w:r>
        <w:rPr>
          <w:rFonts w:ascii="Times New Roman" w:hAnsi="Times New Roman"/>
          <w:b w:val="false"/>
          <w:i w:val="false"/>
          <w:color w:val="000000"/>
          <w:sz w:val="21"/>
        </w:rPr>
        <w:t xml:space="preserve"> (Notice ARC 6621C, IAB 11/2/22)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8961C</w:t>
      </w:r>
      <w:r>
        <w:rPr>
          <w:rFonts w:ascii="Times New Roman" w:hAnsi="Times New Roman"/>
          <w:b w:val="false"/>
          <w:i w:val="false"/>
          <w:color w:val="000000"/>
          <w:sz w:val="21"/>
        </w:rPr>
        <w:t xml:space="preserve"> (Notice ARC 8559C,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56">
        <w:r>
          <w:rPr>
            <w:rStyle w:val="Hyperlink"/>
            <w:rFonts w:ascii="Times New Roman" w:hAnsi="Times New Roman"/>
            <w:b w:val="false"/>
            <w:i w:val="false"/>
            <w:color w:val="000000"/>
            <w:sz w:val="22"/>
          </w:rPr>
          <w:t>95.1</w:t>
        </w:r>
      </w:hyperlink>
      <w:r>
        <w:rPr>
          <w:rFonts w:ascii="Times New Roman" w:hAnsi="Times New Roman"/>
          <w:b w:val="false"/>
          <w:i w:val="false"/>
          <w:color w:val="000000"/>
          <w:sz w:val="22"/>
        </w:rPr>
        <w:t xml:space="preserve">, definition of “Date of collection,” and </w:t>
      </w:r>
      <w:hyperlink r:id="rId57">
        <w:r>
          <w:rPr>
            <w:rStyle w:val="Hyperlink"/>
            <w:rFonts w:ascii="Times New Roman" w:hAnsi="Times New Roman"/>
            <w:b w:val="false"/>
            <w:i w:val="false"/>
            <w:color w:val="000000"/>
            <w:sz w:val="22"/>
          </w:rPr>
          <w:t>95.3</w:t>
        </w:r>
      </w:hyperlink>
      <w:r>
        <w:rPr>
          <w:rFonts w:ascii="Times New Roman" w:hAnsi="Times New Roman"/>
          <w:b w:val="false"/>
          <w:i w:val="false"/>
          <w:color w:val="000000"/>
          <w:sz w:val="22"/>
        </w:rPr>
        <w:t xml:space="preserve"> delayed 70 days by the Administrative Rules Review Committee at its meeting held September 15, 1999; delayed until the end of the 2000 Session of the General Assembly at its meeting held October 11, 1999.</w:t>
      </w:r>
    </w:p>
    <w:sectPr>
      <w:footerReference r:id="rId5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9B.pdf" Type="http://schemas.openxmlformats.org/officeDocument/2006/relationships/hyperlink" Id="rId5"/>
    <Relationship TargetMode="External" Target="https://www.legis.iowa.gov/docs/ico/chapter/598.22.pdf" Type="http://schemas.openxmlformats.org/officeDocument/2006/relationships/hyperlink" Id="rId6"/>
    <Relationship TargetMode="External" Target="https://www.legis.iowa.gov/docs/ico/chapter/234.pdf" Type="http://schemas.openxmlformats.org/officeDocument/2006/relationships/hyperlink" Id="rId7"/>
    <Relationship TargetMode="External" Target="https://www.legis.iowa.gov/docs/ico/chapter/239B.pdf" Type="http://schemas.openxmlformats.org/officeDocument/2006/relationships/hyperlink" Id="rId8"/>
    <Relationship TargetMode="External" Target="https://www.legis.iowa.gov/docs/ico/chapter/234.pdf" Type="http://schemas.openxmlformats.org/officeDocument/2006/relationships/hyperlink" Id="rId9"/>
    <Relationship TargetMode="External" Target="https://www.legis.iowa.gov/docs/ico/chapter/239B.pdf" Type="http://schemas.openxmlformats.org/officeDocument/2006/relationships/hyperlink" Id="rId10"/>
    <Relationship TargetMode="External" Target="https://www.legis.iowa.gov/docs/ico/chapter/252A.pdf" Type="http://schemas.openxmlformats.org/officeDocument/2006/relationships/hyperlink" Id="rId11"/>
    <Relationship TargetMode="External" Target="https://www.legis.iowa.gov/docs/ico/chapter/252C.pdf" Type="http://schemas.openxmlformats.org/officeDocument/2006/relationships/hyperlink" Id="rId12"/>
    <Relationship TargetMode="External" Target="https://www.legis.iowa.gov/docs/ico/chapter/252F.pdf" Type="http://schemas.openxmlformats.org/officeDocument/2006/relationships/hyperlink" Id="rId13"/>
    <Relationship TargetMode="External" Target="https://www.legis.iowa.gov/docs/ico/chapter/252H.pdf" Type="http://schemas.openxmlformats.org/officeDocument/2006/relationships/hyperlink" Id="rId14"/>
    <Relationship TargetMode="External" Target="https://www.legis.iowa.gov/docs/ico/chapter/252K.pdf" Type="http://schemas.openxmlformats.org/officeDocument/2006/relationships/hyperlink" Id="rId15"/>
    <Relationship TargetMode="External" Target="https://www.legis.iowa.gov/docs/ico/chapter/598.pdf" Type="http://schemas.openxmlformats.org/officeDocument/2006/relationships/hyperlink" Id="rId16"/>
    <Relationship TargetMode="External" Target="https://www.legis.iowa.gov/docs/ico/chapter/600B.pdf" Type="http://schemas.openxmlformats.org/officeDocument/2006/relationships/hyperlink" Id="rId17"/>
    <Relationship TargetMode="External" Target="https://www.legis.iowa.gov/docs/ico/chapter/239B.pdf" Type="http://schemas.openxmlformats.org/officeDocument/2006/relationships/hyperlink" Id="rId18"/>
    <Relationship TargetMode="External" Target="https://www.legis.iowa.gov/docs/ico/chapter/249A.pdf" Type="http://schemas.openxmlformats.org/officeDocument/2006/relationships/hyperlink" Id="rId19"/>
    <Relationship TargetMode="External" Target="https://www.legis.iowa.gov/docs/ico/chapter/234.pdf" Type="http://schemas.openxmlformats.org/officeDocument/2006/relationships/hyperlink" Id="rId20"/>
    <Relationship TargetMode="External" Target="https://www.legis.iowa.gov/docs/ico/chapter/598.21B.pdf" Type="http://schemas.openxmlformats.org/officeDocument/2006/relationships/hyperlink" Id="rId21"/>
    <Relationship TargetMode="External" Target="https://www.legis.iowa.gov/docs/ico/chapter/252K.pdf" Type="http://schemas.openxmlformats.org/officeDocument/2006/relationships/hyperlink" Id="rId22"/>
    <Relationship TargetMode="External" Target="https://www.legis.iowa.gov/docs/iac/rule/441.98.30.pdf" Type="http://schemas.openxmlformats.org/officeDocument/2006/relationships/hyperlink" Id="rId23"/>
    <Relationship TargetMode="External" Target="https://www.legis.iowa.gov/docs/iac/chapter/441.98.pdf" Type="http://schemas.openxmlformats.org/officeDocument/2006/relationships/hyperlink" Id="rId24"/>
    <Relationship TargetMode="External" Target="https://www.legis.iowa.gov/docs/ico/chapter/535.3.pdf" Type="http://schemas.openxmlformats.org/officeDocument/2006/relationships/hyperlink" Id="rId25"/>
    <Relationship TargetMode="External" Target="https://www.legis.iowa.gov/docs/iac/rule/441.2506.4.pdf" Type="http://schemas.openxmlformats.org/officeDocument/2006/relationships/hyperlink" Id="rId26"/>
    <Relationship TargetMode="External" Target="https://www.legis.iowa.gov/docs/iac/rule/441.2506.4.pdf" Type="http://schemas.openxmlformats.org/officeDocument/2006/relationships/hyperlink" Id="rId27"/>
    <Relationship TargetMode="External" Target="https://www.legis.iowa.gov/docs/iac/chapter/441.2506.pdf" Type="http://schemas.openxmlformats.org/officeDocument/2006/relationships/hyperlink" Id="rId28"/>
    <Relationship TargetMode="External" Target="https://www.legis.iowa.gov/docs/iac/rule/441.95.11.pdf" Type="http://schemas.openxmlformats.org/officeDocument/2006/relationships/hyperlink" Id="rId29"/>
    <Relationship TargetMode="External" Target="https://www.legis.iowa.gov/docs/iac/chapter/441.2506.pdf" Type="http://schemas.openxmlformats.org/officeDocument/2006/relationships/hyperlink" Id="rId30"/>
    <Relationship TargetMode="External" Target="https://www.legis.iowa.gov/docs/ico/chapter/252B.6A.pdf" Type="http://schemas.openxmlformats.org/officeDocument/2006/relationships/hyperlink" Id="rId31"/>
    <Relationship TargetMode="External" Target="https://www.legis.iowa.gov/docs/iac/chapter/441.41.pdf" Type="http://schemas.openxmlformats.org/officeDocument/2006/relationships/hyperlink" Id="rId32"/>
    <Relationship TargetMode="External" Target="https://www.legis.iowa.gov/docs/iac/chapter/441.75.pdf" Type="http://schemas.openxmlformats.org/officeDocument/2006/relationships/hyperlink" Id="rId33"/>
    <Relationship TargetMode="External" Target="https://www.legis.iowa.gov/docs/iac/rule/441.95.7.pdf" Type="http://schemas.openxmlformats.org/officeDocument/2006/relationships/hyperlink" Id="rId34"/>
    <Relationship TargetMode="External" Target="https://www.legis.iowa.gov/docs/iac/rule/441.95.7.pdf" Type="http://schemas.openxmlformats.org/officeDocument/2006/relationships/hyperlink" Id="rId35"/>
    <Relationship TargetMode="External" Target="https://www.legis.iowa.gov/docs/iac/chapter/441.41.pdf" Type="http://schemas.openxmlformats.org/officeDocument/2006/relationships/hyperlink" Id="rId36"/>
    <Relationship TargetMode="External" Target="https://www.legis.iowa.gov/docs/iac/chapter/441.75.pdf" Type="http://schemas.openxmlformats.org/officeDocument/2006/relationships/hyperlink" Id="rId37"/>
    <Relationship TargetMode="External" Target="https://www.legis.iowa.gov/docs/ico/chapter/252A.3A.pdf" Type="http://schemas.openxmlformats.org/officeDocument/2006/relationships/hyperlink" Id="rId38"/>
    <Relationship TargetMode="External" Target="https://www.legis.iowa.gov/docs/iac/chapter/441.41.pdf" Type="http://schemas.openxmlformats.org/officeDocument/2006/relationships/hyperlink" Id="rId39"/>
    <Relationship TargetMode="External" Target="https://www.legis.iowa.gov/docs/iac/chapter/441.75.pdf" Type="http://schemas.openxmlformats.org/officeDocument/2006/relationships/hyperlink" Id="rId40"/>
    <Relationship TargetMode="External" Target="https://www.legis.iowa.gov/docs/iac/chapter/441.41.pdf" Type="http://schemas.openxmlformats.org/officeDocument/2006/relationships/hyperlink" Id="rId41"/>
    <Relationship TargetMode="External" Target="https://www.legis.iowa.gov/docs/iac/chapter/441.75.pdf" Type="http://schemas.openxmlformats.org/officeDocument/2006/relationships/hyperlink" Id="rId42"/>
    <Relationship TargetMode="External" Target="https://www.legis.iowa.gov/docs/iac/rule/441.95.11.pdf" Type="http://schemas.openxmlformats.org/officeDocument/2006/relationships/hyperlink" Id="rId43"/>
    <Relationship TargetMode="External" Target="https://www.legis.iowa.gov/docs/iac/rule/441.95.10.pdf" Type="http://schemas.openxmlformats.org/officeDocument/2006/relationships/hyperlink" Id="rId44"/>
    <Relationship TargetMode="External" Target="https://www.legis.iowa.gov/docs/iac/rule/441.95.10.pdf" Type="http://schemas.openxmlformats.org/officeDocument/2006/relationships/hyperlink" Id="rId45"/>
    <Relationship TargetMode="External" Target="https://www.legis.iowa.gov/docs/iac/chapter/441.2506.pdf" Type="http://schemas.openxmlformats.org/officeDocument/2006/relationships/hyperlink" Id="rId46"/>
    <Relationship TargetMode="External" Target="https://www.legis.iowa.gov/docs/iac/rule/441.95.6.pdf" Type="http://schemas.openxmlformats.org/officeDocument/2006/relationships/hyperlink" Id="rId47"/>
    <Relationship TargetMode="External" Target="https://www.legis.iowa.gov/docs/iac/rule/441.95.7.pdf" Type="http://schemas.openxmlformats.org/officeDocument/2006/relationships/hyperlink" Id="rId48"/>
    <Relationship TargetMode="External" Target="https://www.legis.iowa.gov/docs/iac/chapter/441.2506.pdf" Type="http://schemas.openxmlformats.org/officeDocument/2006/relationships/hyperlink" Id="rId49"/>
    <Relationship TargetMode="External" Target="https://www.legis.iowa.gov/docs/ico/chapter/252B.pdf" Type="http://schemas.openxmlformats.org/officeDocument/2006/relationships/hyperlink" Id="rId50"/>
    <Relationship TargetMode="External" Target="https://www.legis.iowa.gov/docs/ico/chapter/17A.12.pdf" Type="http://schemas.openxmlformats.org/officeDocument/2006/relationships/hyperlink" Id="rId51"/>
    <Relationship TargetMode="External" Target="https://www.legis.iowa.gov/docs/ico/chapter/252B.pdf" Type="http://schemas.openxmlformats.org/officeDocument/2006/relationships/hyperlink" Id="rId52"/>
    <Relationship TargetMode="External" Target="https://www.legis.iowa.gov/docs/ico/chapter/252C.pdf" Type="http://schemas.openxmlformats.org/officeDocument/2006/relationships/hyperlink" Id="rId53"/>
    <Relationship TargetMode="External" Target="https://www.legis.iowa.gov/docs/ico/chapter/252D.pdf" Type="http://schemas.openxmlformats.org/officeDocument/2006/relationships/hyperlink" Id="rId54"/>
    <Relationship TargetMode="External" Target="https://www.legis.iowa.gov/docs/ico/chapter/17A.pdf" Type="http://schemas.openxmlformats.org/officeDocument/2006/relationships/hyperlink" Id="rId55"/>
    <Relationship TargetMode="External" Target="https://www.legis.iowa.gov/docs/iac/rule/441.95.1.pdf" Type="http://schemas.openxmlformats.org/officeDocument/2006/relationships/hyperlink" Id="rId56"/>
    <Relationship TargetMode="External" Target="https://www.legis.iowa.gov/docs/iac/rule/441.95.3.pdf" Type="http://schemas.openxmlformats.org/officeDocument/2006/relationships/hyperlink" Id="rId57"/>
    <Relationship Target="footer.xml" Type="http://schemas.openxmlformats.org/officeDocument/2006/relationships/footer" Id="rId5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