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 xml:space="preserve">FEE-FOR-SERVICE CASE MANAGEMENT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441—90.1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 on the first day of the month in which service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an HCBS waiver or habilitation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(TCM) and case management provided to members enrolled in a 1915(c)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staff person providing the case management services regardless of the entity providing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other than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mental illness”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condition present in adults who have a persistent mental or emotional disorder that seriously impairs their functioning relative to such primary aspects of daily living as personal relations, living arrangements, or employment. The definition of chronic mental illness and qualifying criteria are found in </w:t>
      </w:r>
      <w:hyperlink r:id="rId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For purposes of this chapter, people with mental disorders resulting from Alzheimer’s disease or substance abuse shall not be considered chronically mentally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instrument for determining the suitability of non-institutionally based long-term services and supports for an individual. The instrument shall be used in a uniform manner throughout the state to determine an applicant’s or member’s needs for training, support services, medical care, transportation, and other services and to develop an individual service plan to address such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“Developmental disability”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severe, chronic disability that is determined through professionally administered screening and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“Fee-for-service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“FFS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member who is not enrolled with a managed care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and community-based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provided pursuant to </w:t>
      </w:r>
      <w:r>
        <w:rPr>
          <w:rFonts w:ascii="Times New Roman" w:hAnsi="Times New Roman"/>
          <w:b w:val="false"/>
          <w:i w:val="false"/>
          <w:color w:val="000000"/>
          <w:sz w:val="22"/>
        </w:rPr>
        <w:t>Sections 1915(c) and 1915(i)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“Intellectual disability”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of intellectual disability (intellectual developmental disorder), global developmental delay, or unspecified intellectual disability (intellectual developmental disorder). Diagnosis criteria are outlined in </w:t>
      </w:r>
      <w:hyperlink r:id="rId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that involves a member who is enrolled in an HCBS waiver, TCM, or habilitation services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member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member;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 report of dependent adult abuse pursuant to Iowa Code section </w:t>
      </w:r>
      <w:hyperlink r:id="rId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a report of elder abuse pursuant to Iowa Code chapter </w:t>
      </w:r>
      <w:hyperlink r:id="rId9">
        <w:r>
          <w:rPr>
            <w:rStyle w:val="Hyperlink"/>
            <w:rFonts w:ascii="Times New Roman" w:hAnsi="Times New Roman"/>
            <w:b w:val="false"/>
            <w:i w:val="false"/>
            <w:color w:val="000000"/>
            <w:sz w:val="22"/>
          </w:rPr>
          <w:t>235F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numbered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member’s location being unknown by provider staff who are responsible for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10">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that is organized, staffed, and authorized to provide medical care as set forth in the most recent amendment to 42 CFR Section 435.1009 as amended to October 20,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that involves a member who is enrolled in an HCBS waiver, TCM, or habilitation services and that is not a major incident but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“Person-centered service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service plan created through the person-centered planning process, directed by the member with long-term care needs or the member’s guardian or representative, to identify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“Rights restriction”</w:t>
      </w:r>
      <w:r>
        <w:rPr>
          <w:rFonts w:ascii="Times New Roman" w:hAnsi="Times New Roman"/>
          <w:b w:val="false"/>
          <w:i w:val="false"/>
          <w:color w:val="000000"/>
          <w:sz w:val="22"/>
        </w:rPr>
        <w:t> </w:t>
      </w:r>
      <w:r>
        <w:rPr>
          <w:rFonts w:ascii="Times New Roman" w:hAnsi="Times New Roman"/>
          <w:b w:val="false"/>
          <w:i w:val="false"/>
          <w:color w:val="000000"/>
          <w:sz w:val="22"/>
        </w:rPr>
        <w:t>means limitations not imposed on the general public in the areas of communication, mobility, finances, medical or mental health treatment, intimacy, privacy, type of work, religion, place of residence, and people with whom a member may share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“TCM”</w:t>
      </w:r>
      <w:r>
        <w:rPr>
          <w:rFonts w:ascii="Times New Roman" w:hAnsi="Times New Roman"/>
          <w:b w:val="false"/>
          <w:i w:val="false"/>
          <w:color w:val="000000"/>
          <w:sz w:val="22"/>
        </w:rPr>
        <w:t> </w:t>
      </w:r>
      <w:r>
        <w:rPr>
          <w:rFonts w:ascii="Times New Roman" w:hAnsi="Times New Roman"/>
          <w:b w:val="false"/>
          <w:i w:val="false"/>
          <w:color w:val="000000"/>
          <w:sz w:val="22"/>
        </w:rPr>
        <w:t>means case management services furnished to assist members who are part of a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population”</w:t>
      </w:r>
      <w:r>
        <w:rPr>
          <w:rFonts w:ascii="Times New Roman" w:hAnsi="Times New Roman"/>
          <w:b w:val="false"/>
          <w:i w:val="false"/>
          <w:color w:val="000000"/>
          <w:sz w:val="22"/>
        </w:rPr>
        <w:t> </w:t>
      </w:r>
      <w:r>
        <w:rPr>
          <w:rFonts w:ascii="Times New Roman" w:hAnsi="Times New Roman"/>
          <w:b w:val="false"/>
          <w:i w:val="false"/>
          <w:color w:val="000000"/>
          <w:sz w:val="22"/>
        </w:rPr>
        <w:t>means people who meet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adult who is identified with a primary diagnosis of intellectual disability, chronic mental illness, or developmental disability;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child who is eligible to receive HCBS waiver services according to </w:t>
      </w:r>
      <w:hyperlink r:id="rId1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member enrolled with an MCO is not part of the targeted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441—90.2</w:t>
      </w:r>
      <w:r>
        <w:rPr>
          <w:rFonts w:ascii="Times New Roman" w:hAnsi="Times New Roman"/>
          <w:b/>
          <w:i w:val="false"/>
          <w:color w:val="000000"/>
          <w:sz w:val="22"/>
        </w:rPr>
        <w:t xml:space="preserve">(249A) </w:t>
      </w:r>
      <w:r>
        <w:rPr>
          <w:rFonts w:ascii="Times New Roman" w:hAnsi="Times New Roman"/>
          <w:b/>
          <w:i w:val="false"/>
          <w:color w:val="000000"/>
          <w:sz w:val="22"/>
        </w:rPr>
        <w:t xml:space="preserve">Targeted case management. </w:t>
      </w:r>
      <w:r>
        <w:rPr>
          <w:rFonts w:ascii="Times New Roman" w:hAnsi="Times New Roman"/>
          <w:b w:val="false"/>
          <w:i w:val="false"/>
          <w:color w:val="000000"/>
          <w:sz w:val="22"/>
        </w:rPr>
        <w:t>This rule applies only to the case management category of TCM and the defined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targeted case management. </w:t>
      </w:r>
      <w:r>
        <w:rPr>
          <w:rFonts w:ascii="Times New Roman" w:hAnsi="Times New Roman"/>
          <w:b w:val="false"/>
          <w:i w:val="false"/>
          <w:color w:val="000000"/>
          <w:sz w:val="22"/>
        </w:rPr>
        <w:t>A person who meets all of the following criteria will be eligible for TCM: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or is conditionally eligible under </w:t>
      </w:r>
      <w:hyperlink r:id="rId1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member of a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resides in a community setting or qualifies for transitional case management as set forth in subrule </w:t>
      </w:r>
      <w:hyperlink r:id="rId14">
        <w:r>
          <w:rPr>
            <w:rStyle w:val="Hyperlink"/>
            <w:rFonts w:ascii="Times New Roman" w:hAnsi="Times New Roman"/>
            <w:b w:val="false"/>
            <w:i w:val="false"/>
            <w:color w:val="000000"/>
            <w:sz w:val="22"/>
          </w:rPr>
          <w:t>90.2(4)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has applied for TCM in accordance with the policies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or enrolled in an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for targeted case management. </w:t>
      </w:r>
      <w:r>
        <w:rPr>
          <w:rFonts w:ascii="Times New Roman" w:hAnsi="Times New Roman"/>
          <w:b w:val="false"/>
          <w:i w:val="false"/>
          <w:color w:val="000000"/>
          <w:sz w:val="22"/>
        </w:rPr>
        <w:t xml:space="preserve">Assessment at least every 365 days since the date of identified need for TCM is required as a condition of eligibility under the medical assistance program. The TCM provider manual found on the department’s website and as amended to July 1, 2026, contains more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targeted case management. </w:t>
      </w:r>
      <w:r>
        <w:rPr>
          <w:rFonts w:ascii="Times New Roman" w:hAnsi="Times New Roman"/>
          <w:b w:val="false"/>
          <w:i w:val="false"/>
          <w:color w:val="000000"/>
          <w:sz w:val="22"/>
        </w:rPr>
        <w:t>The TCM provider shall process a received application for TCM no later than 30 days after receipt of the application. The Medicaid manual for TCM found on the department’s website and as amended to July 1, 2026, has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decision for targeted case management. The TCM provider shall inform the applicant, or the applicant’s guardian or representative, of any decision to approve, deny, or delay the service in accordance with the notification requirements in </w:t>
      </w:r>
      <w:hyperlink r:id="rId1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Denial of applications. The TCM provider will deny an application for service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not currently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meet the eligibility criteria in </w:t>
      </w:r>
      <w:hyperlink r:id="rId16">
        <w:r>
          <w:rPr>
            <w:rStyle w:val="Hyperlink"/>
            <w:rFonts w:ascii="Times New Roman" w:hAnsi="Times New Roman"/>
            <w:b w:val="false"/>
            <w:i w:val="false"/>
            <w:color w:val="000000"/>
            <w:sz w:val="22"/>
          </w:rPr>
          <w:t>441—subrule 90.2(1)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the applicant’s guardian or representative, withdraws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provide information required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receiving duplicative TCM from another Medicaid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have a need for TCM.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w:t>
      </w:r>
      <w:r>
        <w:rPr>
          <w:rFonts w:ascii="Times New Roman" w:hAnsi="Times New Roman"/>
          <w:b w:val="false"/>
          <w:i w:val="false"/>
          <w:color w:val="000000"/>
          <w:sz w:val="22"/>
        </w:rPr>
        <w:t> </w:t>
      </w:r>
      <w:r>
        <w:rPr>
          <w:rFonts w:ascii="Times New Roman" w:hAnsi="Times New Roman"/>
          <w:b w:val="false"/>
          <w:i/>
          <w:color w:val="000000"/>
          <w:sz w:val="22"/>
        </w:rPr>
        <w:t xml:space="preserve">Transition to a community setting. </w:t>
      </w:r>
      <w:r>
        <w:rPr>
          <w:rFonts w:ascii="Times New Roman" w:hAnsi="Times New Roman"/>
          <w:b w:val="false"/>
          <w:i w:val="false"/>
          <w:color w:val="000000"/>
          <w:sz w:val="22"/>
        </w:rPr>
        <w:t xml:space="preserve">The Medicaid manual for TCM found on the department’s website and as amended to July 1, 2026, contains information about services that may be provided to a member transitioning to a community setting.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441—90.3</w:t>
      </w:r>
      <w:r>
        <w:rPr>
          <w:rFonts w:ascii="Times New Roman" w:hAnsi="Times New Roman"/>
          <w:b/>
          <w:i w:val="false"/>
          <w:color w:val="000000"/>
          <w:sz w:val="22"/>
        </w:rPr>
        <w:t xml:space="preserve">(249A) </w:t>
      </w:r>
      <w:r>
        <w:rPr>
          <w:rFonts w:ascii="Times New Roman" w:hAnsi="Times New Roman"/>
          <w:b/>
          <w:i w:val="false"/>
          <w:color w:val="000000"/>
          <w:sz w:val="22"/>
        </w:rPr>
        <w:t xml:space="preserve">Termination of TCM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TCM shall be terminated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does not meet eligibility criteria under rule </w:t>
      </w:r>
      <w:hyperlink r:id="rId17">
        <w:r>
          <w:rPr>
            <w:rStyle w:val="Hyperlink"/>
            <w:rFonts w:ascii="Times New Roman" w:hAnsi="Times New Roman"/>
            <w:b w:val="false"/>
            <w:i w:val="false"/>
            <w:color w:val="000000"/>
            <w:sz w:val="22"/>
          </w:rPr>
          <w:t>441—90.2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achieved all goals and objectives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no ongoing need for TCM;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is receiving TCM based on eligibility under an HCBS program but is no longer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guardian or representative requests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member is unwilling or unable to accept further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guardian or representative fails to provide access to information  necessary for the development of the service plan or for implementation of TCM.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notify the member or the member’s guardian or representative in writing of the termination of TCM, in accordance with </w:t>
      </w:r>
      <w:hyperlink r:id="rId1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441—90.4</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This rule applies to all categories of case management and all populations covered by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The following shall be included in FFS case management services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Initial assessments and regular reassessments must be completed for each member to determine the need for medical, social, educational, housing, transportation, vocational, or other services, as specified in the Medicaid manual for TCM found on the department’s website and as amended through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The case manager shall develop and revise a comprehensive, person-centered service plan at least every 365 days in accordance with the Medicaid manual for TCM found on the department’s website and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and follow-up. </w:t>
      </w:r>
      <w:r>
        <w:rPr>
          <w:rFonts w:ascii="Times New Roman" w:hAnsi="Times New Roman"/>
          <w:b w:val="false"/>
          <w:i w:val="false"/>
          <w:color w:val="000000"/>
          <w:sz w:val="22"/>
        </w:rPr>
        <w:t xml:space="preserve">The case manager shall perform monitoring activities and make contacts that are necessary to ensure the health, safety, and welfare of the member and to ensure that the person-centered service plan is effectively implemented and adequately addresses the needs of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Contacts. </w:t>
      </w:r>
      <w:r>
        <w:rPr>
          <w:rFonts w:ascii="Times New Roman" w:hAnsi="Times New Roman"/>
          <w:b w:val="false"/>
          <w:i w:val="false"/>
          <w:color w:val="000000"/>
          <w:sz w:val="22"/>
        </w:rPr>
        <w:t>The case manager shall have at least one face-to-face contact with the member in the member’s residence at least quarterly. The case manager shall have at least one contact per month with the member or the member’s guardians or representatives. This contact may be face-to-face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made for activities otherwise within the definition of case management services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are an integral component of another covered Medicaid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constitute the direct delivery of underlying medical, social, educational, housing, transportation, vocational or other services to which a member has been referred.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activities are components of the administration of foster care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for which a member may be eligible are a component of the administration of another nonmedical program, such as a guardianship, child welfare or child protective services, parole, probation, or special education program, except for case management that is included in an individualized education program or individualized family service plan consistent with </w:t>
      </w:r>
      <w:r>
        <w:rPr>
          <w:rFonts w:ascii="Times New Roman" w:hAnsi="Times New Roman"/>
          <w:b w:val="false"/>
          <w:i w:val="false"/>
          <w:color w:val="000000"/>
          <w:sz w:val="22"/>
        </w:rPr>
        <w:t>Section 1903(c) of the Social Security Act</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activities duplicate institutional discharge planning.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441—90.5</w:t>
      </w:r>
      <w:r>
        <w:rPr>
          <w:rFonts w:ascii="Times New Roman" w:hAnsi="Times New Roman"/>
          <w:b/>
          <w:i w:val="false"/>
          <w:color w:val="000000"/>
          <w:sz w:val="22"/>
        </w:rPr>
        <w:t xml:space="preserve">(249A) </w:t>
      </w:r>
      <w:r>
        <w:rPr>
          <w:rFonts w:ascii="Times New Roman" w:hAnsi="Times New Roman"/>
          <w:b/>
          <w:i w:val="false"/>
          <w:color w:val="000000"/>
          <w:sz w:val="22"/>
        </w:rPr>
        <w:t xml:space="preserve">Rights restrictions. </w:t>
      </w:r>
      <w:r>
        <w:rPr>
          <w:rFonts w:ascii="Times New Roman" w:hAnsi="Times New Roman"/>
          <w:b w:val="false"/>
          <w:i w:val="false"/>
          <w:color w:val="000000"/>
          <w:sz w:val="22"/>
        </w:rPr>
        <w:t>This rule applies to all categories of case management and all populations covered by case management. Any effort to restrict the rights of a member, or the member’s preferences or goals must be justified by a specific individualized assessed safety need and documented in the person-centered service plan. For more information, refer to the Person Centered Service Plan manual as amended to July 1, 2026,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441—90.6</w:t>
      </w:r>
      <w:r>
        <w:rPr>
          <w:rFonts w:ascii="Times New Roman" w:hAnsi="Times New Roman"/>
          <w:b/>
          <w:i w:val="false"/>
          <w:color w:val="000000"/>
          <w:sz w:val="22"/>
        </w:rPr>
        <w:t xml:space="preserve">(249A) </w:t>
      </w:r>
      <w:r>
        <w:rPr>
          <w:rFonts w:ascii="Times New Roman" w:hAnsi="Times New Roman"/>
          <w:b/>
          <w:i w:val="false"/>
          <w:color w:val="000000"/>
          <w:sz w:val="22"/>
        </w:rPr>
        <w:t xml:space="preserve">Documentation and billing. </w:t>
      </w:r>
      <w:r>
        <w:rPr>
          <w:rFonts w:ascii="Times New Roman" w:hAnsi="Times New Roman"/>
          <w:b w:val="false"/>
          <w:i w:val="false"/>
          <w:color w:val="000000"/>
          <w:sz w:val="22"/>
        </w:rPr>
        <w:t>This rule applies to all categories of case management and all populations covered by case management. The case management billing manual for case management contact documentation and billing requirements available on the department’s website and as amended to July 1, 2026, contains more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441—90.7</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all categories of case management and all populations covered by case management. Major or minor incidents shall be reported according to the case management incident reporting manual available on the department’s website and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val="false"/>
          <w:color w:val="000000"/>
          <w:sz w:val="22"/>
        </w:rPr>
        <w:t>Quality assurance. Case management services providers shall cooperate with quality assurance activities conducted by Iowa Medicaid, as well as any other state or federal entity with oversight authority to ensure the health, safety, and welfare of Medicaid members. These activities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Postpayment review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reports of abuse or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Technical assistance in determining the need for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12/12/02 after Notice 10/16/02—published 1/8/03, effective 1/1/03]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6854C</w:t>
      </w:r>
      <w:r>
        <w:rPr>
          <w:rFonts w:ascii="Times New Roman" w:hAnsi="Times New Roman"/>
          <w:b w:val="false"/>
          <w:i w:val="false"/>
          <w:color w:val="000000"/>
          <w:sz w:val="21"/>
        </w:rPr>
        <w:t xml:space="preserve"> (Notice ARC 6643C, IAB 11/16/22)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0319D</w:t>
      </w:r>
      <w:r>
        <w:rPr>
          <w:rFonts w:ascii="Times New Roman" w:hAnsi="Times New Roman"/>
          <w:b w:val="false"/>
          <w:i w:val="false"/>
          <w:color w:val="000000"/>
          <w:sz w:val="21"/>
        </w:rPr>
        <w:t xml:space="preserve"> (Notice ARC 9854C, IAB 12/24/25)</w:t>
      </w:r>
      <w:r>
        <w:rPr>
          <w:rFonts w:ascii="Times New Roman" w:hAnsi="Times New Roman"/>
          <w:b w:val="false"/>
          <w:i w:val="false"/>
          <w:color w:val="000000"/>
          <w:sz w:val="21"/>
        </w:rPr>
        <w:t>, IAB 5/27/26, effective 7/1/26]</w:t>
      </w:r>
    </w:p>
    <w:p>
      <w:pPr>
        <w:pBdr>
          <w:bottom w:space="2"/>
        </w:pBdr>
        <w:spacing w:before="0" w:after="0"/>
        <w:ind w:left="120"/>
        <w:jc w:val="both"/>
      </w:pPr>
      <w:r>
        <w:rPr>
          <w:rFonts w:ascii="Times New Roman" w:hAnsi="Times New Roman"/>
          <w:b w:val="false"/>
          <w:i w:val="false"/>
          <w:color w:val="000000"/>
          <w:sz w:val="22"/>
        </w:rPr>
        <w:t xml:space="preserve">January 1, 2003, effective date of </w:t>
      </w:r>
      <w:hyperlink r:id="rId20">
        <w:r>
          <w:rPr>
            <w:rStyle w:val="Hyperlink"/>
            <w:rFonts w:ascii="Times New Roman" w:hAnsi="Times New Roman"/>
            <w:b w:val="false"/>
            <w:i w:val="false"/>
            <w:color w:val="000000"/>
            <w:sz w:val="22"/>
          </w:rPr>
          <w:t>90.2(5)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 xml:space="preserve"> delayed 70 days by the Administrative Rules Review Committee at a special meeting held December 19, 2002.</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4.pdf" Type="http://schemas.openxmlformats.org/officeDocument/2006/relationships/hyperlink" Id="rId5"/>
    <Relationship TargetMode="External" Target="https://www.legis.iowa.gov/docs/iac/chapter/441.83.pdf" Type="http://schemas.openxmlformats.org/officeDocument/2006/relationships/hyperlink" Id="rId6"/>
    <Relationship TargetMode="External" Target="https://www.legis.iowa.gov/docs/ico/chapter/232.69.pdf" Type="http://schemas.openxmlformats.org/officeDocument/2006/relationships/hyperlink" Id="rId7"/>
    <Relationship TargetMode="External" Target="https://www.legis.iowa.gov/docs/ico/chapter/235B.3.pdf" Type="http://schemas.openxmlformats.org/officeDocument/2006/relationships/hyperlink" Id="rId8"/>
    <Relationship TargetMode="External" Target="https://www.legis.iowa.gov/docs/ico/chapter/235F.pdf" Type="http://schemas.openxmlformats.org/officeDocument/2006/relationships/hyperlink" Id="rId9"/>
    <Relationship TargetMode="External" Target="https://www.legis.iowa.gov/docs/iac/chapter/441.73.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83.pdf" Type="http://schemas.openxmlformats.org/officeDocument/2006/relationships/hyperlink" Id="rId12"/>
    <Relationship TargetMode="External" Target="https://www.legis.iowa.gov/docs/iac/chapter/441.75.pdf" Type="http://schemas.openxmlformats.org/officeDocument/2006/relationships/hyperlink" Id="rId13"/>
    <Relationship TargetMode="External" Target="https://www.legis.iowa.gov/docs/iac/rule/441.90.2.pdf" Type="http://schemas.openxmlformats.org/officeDocument/2006/relationships/hyperlink" Id="rId14"/>
    <Relationship TargetMode="External" Target="https://www.legis.iowa.gov/docs/iac/chapter/441.16.pdf" Type="http://schemas.openxmlformats.org/officeDocument/2006/relationships/hyperlink" Id="rId15"/>
    <Relationship TargetMode="External" Target="https://www.legis.iowa.gov/docs/iac/rule/441.90.2.pdf" Type="http://schemas.openxmlformats.org/officeDocument/2006/relationships/hyperlink" Id="rId16"/>
    <Relationship TargetMode="External" Target="https://www.legis.iowa.gov/docs/iac/rule/441.90.2.pdf" Type="http://schemas.openxmlformats.org/officeDocument/2006/relationships/hyperlink" Id="rId17"/>
    <Relationship TargetMode="External" Target="https://www.legis.iowa.gov/docs/iac/chapter/441.16.pdf" Type="http://schemas.openxmlformats.org/officeDocument/2006/relationships/hyperlink" Id="rId18"/>
    <Relationship TargetMode="External" Target="https://www.legis.iowa.gov/docs/ico/chapter/249A.4.pdf" Type="http://schemas.openxmlformats.org/officeDocument/2006/relationships/hyperlink" Id="rId19"/>
    <Relationship TargetMode="External" Target="https://www.legis.iowa.gov/docs/iac/rule/441.90.2.pdf" Type="http://schemas.openxmlformats.org/officeDocument/2006/relationships/hyperlink" Id="rId20"/>
    <Relationship TargetMode="External" Target="https://www.legis.iowa.gov/docs/iac/rule/441.90.3.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