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w:t>
      </w:r>
    </w:p>
    <w:p>
      <w:pPr>
        <w:spacing w:before="0" w:after="0"/>
        <w:ind w:left="120"/>
        <w:jc w:val="center"/>
      </w:pPr>
      <w:r>
        <w:rPr>
          <w:rFonts w:ascii="Times New Roman" w:hAnsi="Times New Roman"/>
          <w:b w:val="false"/>
          <w:i w:val="false"/>
          <w:color w:val="000000"/>
          <w:sz w:val="21"/>
        </w:rPr>
        <w:t>DEBTS DUE FROM TRANSFERS OF ASSETS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441—89.1</w:t>
      </w:r>
      <w:r>
        <w:rPr>
          <w:rFonts w:ascii="Times New Roman" w:hAnsi="Times New Roman"/>
          <w:b/>
          <w:i w:val="false"/>
          <w:color w:val="000000"/>
          <w:sz w:val="22"/>
        </w:rPr>
        <w:t xml:space="preserve">(249F)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means the price for which property or an item could have been sold on the open market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249F.1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702.14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means the disposal of property for less than fair market value through gifting, sale or any transfer or assignment of a legal or equitable interest in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“Transferee” </w:t>
      </w:r>
      <w:r>
        <w:rPr>
          <w:rFonts w:ascii="Times New Roman" w:hAnsi="Times New Roman"/>
          <w:b w:val="false"/>
          <w:i w:val="false"/>
          <w:color w:val="000000"/>
          <w:sz w:val="22"/>
        </w:rPr>
        <w:t>means the person who receives a transfer or assignment of a legal or equitable interest in property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“Transferor” </w:t>
      </w:r>
      <w:r>
        <w:rPr>
          <w:rFonts w:ascii="Times New Roman" w:hAnsi="Times New Roman"/>
          <w:b w:val="false"/>
          <w:i w:val="false"/>
          <w:color w:val="000000"/>
          <w:sz w:val="22"/>
        </w:rPr>
        <w:t>means the person who makes a transfer of a legal or equitable interest in property for less than fair market value.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441—89.2</w:t>
      </w:r>
      <w:r>
        <w:rPr>
          <w:rFonts w:ascii="Times New Roman" w:hAnsi="Times New Roman"/>
          <w:b/>
          <w:i w:val="false"/>
          <w:color w:val="000000"/>
          <w:sz w:val="22"/>
        </w:rPr>
        <w:t xml:space="preserve">(249F) </w:t>
      </w:r>
      <w:r>
        <w:rPr>
          <w:rFonts w:ascii="Times New Roman" w:hAnsi="Times New Roman"/>
          <w:b/>
          <w:i w:val="false"/>
          <w:color w:val="000000"/>
          <w:sz w:val="22"/>
        </w:rPr>
        <w:t xml:space="preserve">Creation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89.2(1)</w:t>
      </w:r>
      <w:r>
        <w:rPr>
          <w:rFonts w:ascii="Times New Roman" w:hAnsi="Times New Roman"/>
          <w:b w:val="false"/>
          <w:i w:val="false"/>
          <w:color w:val="000000"/>
          <w:sz w:val="22"/>
        </w:rPr>
        <w:t> </w:t>
      </w:r>
      <w:r>
        <w:rPr>
          <w:rFonts w:ascii="Times New Roman" w:hAnsi="Times New Roman"/>
          <w:b w:val="false"/>
          <w:i/>
          <w:color w:val="000000"/>
          <w:sz w:val="22"/>
        </w:rPr>
        <w:t xml:space="preserve">Transfer of property. </w:t>
      </w:r>
      <w:r>
        <w:rPr>
          <w:rFonts w:ascii="Times New Roman" w:hAnsi="Times New Roman"/>
          <w:b w:val="false"/>
          <w:i w:val="false"/>
          <w:color w:val="000000"/>
          <w:sz w:val="22"/>
        </w:rPr>
        <w:t xml:space="preserve">Except as provided in rule </w:t>
      </w:r>
      <w:hyperlink r:id="rId7">
        <w:r>
          <w:rPr>
            <w:rStyle w:val="Hyperlink"/>
            <w:rFonts w:ascii="Times New Roman" w:hAnsi="Times New Roman"/>
            <w:b w:val="false"/>
            <w:i w:val="false"/>
            <w:color w:val="000000"/>
            <w:sz w:val="22"/>
          </w:rPr>
          <w:t>441—89.3</w:t>
        </w:r>
      </w:hyperlink>
      <w:r>
        <w:rPr>
          <w:rFonts w:ascii="Times New Roman" w:hAnsi="Times New Roman"/>
          <w:b w:val="false"/>
          <w:i w:val="false"/>
          <w:color w:val="000000"/>
          <w:sz w:val="22"/>
        </w:rPr>
        <w:t>(249F), any transfer of property for less than fair market value creates a debt due and owing to the department from the transferee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transfer is made while the transferor is receiving medical assistance or within five years prior to application for medical assistance and between July 1, 1993, and December 31,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 is made with the intent on the part of the transferee of enabling the transferor to obtain or maintain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w:t>
      </w:r>
      <w:r>
        <w:rPr>
          <w:rFonts w:ascii="Times New Roman" w:hAnsi="Times New Roman"/>
          <w:b w:val="false"/>
          <w:i w:val="false"/>
          <w:color w:val="000000"/>
          <w:sz w:val="22"/>
        </w:rPr>
        <w:t> </w:t>
      </w:r>
      <w:r>
        <w:rPr>
          <w:rFonts w:ascii="Times New Roman" w:hAnsi="Times New Roman"/>
          <w:b w:val="false"/>
          <w:i/>
          <w:color w:val="000000"/>
          <w:sz w:val="22"/>
        </w:rPr>
        <w:t xml:space="preserve">Amount of debt. </w:t>
      </w:r>
      <w:r>
        <w:rPr>
          <w:rFonts w:ascii="Times New Roman" w:hAnsi="Times New Roman"/>
          <w:b w:val="false"/>
          <w:i w:val="false"/>
          <w:color w:val="000000"/>
          <w:sz w:val="22"/>
        </w:rPr>
        <w:t>The amount of the debt is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amount equal to the medical assistance provided to or on behalf of the transferor on or after the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fair market value of the property at the time of transfer and the value of any consideration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441—89.3</w:t>
      </w:r>
      <w:r>
        <w:rPr>
          <w:rFonts w:ascii="Times New Roman" w:hAnsi="Times New Roman"/>
          <w:b/>
          <w:i w:val="false"/>
          <w:color w:val="000000"/>
          <w:sz w:val="22"/>
        </w:rPr>
        <w:t xml:space="preserve">(249F)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Notwithstanding rule </w:t>
      </w:r>
      <w:hyperlink r:id="rId8">
        <w:r>
          <w:rPr>
            <w:rStyle w:val="Hyperlink"/>
            <w:rFonts w:ascii="Times New Roman" w:hAnsi="Times New Roman"/>
            <w:b w:val="false"/>
            <w:i w:val="false"/>
            <w:color w:val="000000"/>
            <w:sz w:val="22"/>
          </w:rPr>
          <w:t>441—89.2</w:t>
        </w:r>
      </w:hyperlink>
      <w:r>
        <w:rPr>
          <w:rFonts w:ascii="Times New Roman" w:hAnsi="Times New Roman"/>
          <w:b w:val="false"/>
          <w:i w:val="false"/>
          <w:color w:val="000000"/>
          <w:sz w:val="22"/>
        </w:rPr>
        <w:t xml:space="preserve">(249F), transfers detailed in Iowa Code section </w:t>
      </w:r>
      <w:hyperlink r:id="rId9">
        <w:r>
          <w:rPr>
            <w:rStyle w:val="Hyperlink"/>
            <w:rFonts w:ascii="Times New Roman" w:hAnsi="Times New Roman"/>
            <w:b w:val="false"/>
            <w:i w:val="false"/>
            <w:color w:val="000000"/>
            <w:sz w:val="22"/>
          </w:rPr>
          <w:t>249F.1(3)</w:t>
        </w:r>
      </w:hyperlink>
      <w:r>
        <w:rPr>
          <w:rFonts w:ascii="Times New Roman" w:hAnsi="Times New Roman"/>
          <w:b w:val="false"/>
          <w:i/>
          <w:color w:val="000000"/>
          <w:sz w:val="22"/>
        </w:rPr>
        <w:t>“b”</w:t>
      </w:r>
      <w:r>
        <w:rPr>
          <w:rFonts w:ascii="Times New Roman" w:hAnsi="Times New Roman"/>
          <w:b w:val="false"/>
          <w:i w:val="false"/>
          <w:color w:val="000000"/>
          <w:sz w:val="22"/>
        </w:rPr>
        <w:t xml:space="preserve"> that occur on or after July 1, 1996, do not create a debt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441—89.4</w:t>
      </w:r>
      <w:r>
        <w:rPr>
          <w:rFonts w:ascii="Times New Roman" w:hAnsi="Times New Roman"/>
          <w:b/>
          <w:i w:val="false"/>
          <w:color w:val="000000"/>
          <w:sz w:val="22"/>
        </w:rPr>
        <w:t xml:space="preserve">(249F) </w:t>
      </w:r>
      <w:r>
        <w:rPr>
          <w:rFonts w:ascii="Times New Roman" w:hAnsi="Times New Roman"/>
          <w:b/>
          <w:i w:val="false"/>
          <w:color w:val="000000"/>
          <w:sz w:val="22"/>
        </w:rPr>
        <w:t xml:space="preserve">Presumption of intent. </w:t>
      </w:r>
      <w:r>
        <w:rPr>
          <w:rFonts w:ascii="Times New Roman" w:hAnsi="Times New Roman"/>
          <w:b w:val="false"/>
          <w:i w:val="false"/>
          <w:color w:val="000000"/>
          <w:sz w:val="22"/>
        </w:rPr>
        <w:t>Any transfer of property for less than fair market consideration made while the transferor is receiving medical assistance or within five years prior to an application for medical assistance is presumed to be made with the intent, on the part of the transferee, of enabling the transferor to obtain or maintain eligibility for medical assistance. This presumption can be rebutted only by clear and convincing evidence that the transferor’s eligibility or potential eligibility for medical assistance was no part of the transferee’s reason for accepting the transfer of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441—89.5</w:t>
      </w:r>
      <w:r>
        <w:rPr>
          <w:rFonts w:ascii="Times New Roman" w:hAnsi="Times New Roman"/>
          <w:b/>
          <w:i w:val="false"/>
          <w:color w:val="000000"/>
          <w:sz w:val="22"/>
        </w:rPr>
        <w:t xml:space="preserve">(249F) </w:t>
      </w:r>
      <w:r>
        <w:rPr>
          <w:rFonts w:ascii="Times New Roman" w:hAnsi="Times New Roman"/>
          <w:b/>
          <w:i w:val="false"/>
          <w:color w:val="000000"/>
          <w:sz w:val="22"/>
        </w:rPr>
        <w:t xml:space="preserve">Notice of debt. </w:t>
      </w:r>
      <w:r>
        <w:rPr>
          <w:rFonts w:ascii="Times New Roman" w:hAnsi="Times New Roman"/>
          <w:b w:val="false"/>
          <w:i w:val="false"/>
          <w:color w:val="000000"/>
          <w:sz w:val="22"/>
        </w:rPr>
        <w:t xml:space="preserve">The department may issue a notice establishing and demanding payment of an accrued or accruing debt due and owing to the department as provided in rule </w:t>
      </w:r>
      <w:hyperlink r:id="rId10">
        <w:r>
          <w:rPr>
            <w:rStyle w:val="Hyperlink"/>
            <w:rFonts w:ascii="Times New Roman" w:hAnsi="Times New Roman"/>
            <w:b w:val="false"/>
            <w:i w:val="false"/>
            <w:color w:val="000000"/>
            <w:sz w:val="22"/>
          </w:rPr>
          <w:t>441—89.2</w:t>
        </w:r>
      </w:hyperlink>
      <w:r>
        <w:rPr>
          <w:rFonts w:ascii="Times New Roman" w:hAnsi="Times New Roman"/>
          <w:b w:val="false"/>
          <w:i w:val="false"/>
          <w:color w:val="000000"/>
          <w:sz w:val="22"/>
        </w:rPr>
        <w:t xml:space="preserve">(249F) pursuant to Iowa Code section </w:t>
      </w:r>
      <w:hyperlink r:id="rId11">
        <w:r>
          <w:rPr>
            <w:rStyle w:val="Hyperlink"/>
            <w:rFonts w:ascii="Times New Roman" w:hAnsi="Times New Roman"/>
            <w:b w:val="false"/>
            <w:i w:val="false"/>
            <w:color w:val="000000"/>
            <w:sz w:val="22"/>
          </w:rPr>
          <w:t>249F.3(1)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441—89.6</w:t>
      </w:r>
      <w:r>
        <w:rPr>
          <w:rFonts w:ascii="Times New Roman" w:hAnsi="Times New Roman"/>
          <w:b/>
          <w:i w:val="false"/>
          <w:color w:val="000000"/>
          <w:sz w:val="22"/>
        </w:rPr>
        <w:t xml:space="preserve">(249F) </w:t>
      </w:r>
      <w:r>
        <w:rPr>
          <w:rFonts w:ascii="Times New Roman" w:hAnsi="Times New Roman"/>
          <w:b/>
          <w:i w:val="false"/>
          <w:color w:val="000000"/>
          <w:sz w:val="22"/>
        </w:rPr>
        <w:t xml:space="preserve">No timely request of a hearing. </w:t>
      </w:r>
      <w:r>
        <w:rPr>
          <w:rFonts w:ascii="Times New Roman" w:hAnsi="Times New Roman"/>
          <w:b w:val="false"/>
          <w:i w:val="false"/>
          <w:color w:val="000000"/>
          <w:sz w:val="22"/>
        </w:rPr>
        <w:t xml:space="preserve">If a timely written request for hearing is not received by the department, the department may enter an order pursuant to Iowa Code section </w:t>
      </w:r>
      <w:hyperlink r:id="rId12">
        <w:r>
          <w:rPr>
            <w:rStyle w:val="Hyperlink"/>
            <w:rFonts w:ascii="Times New Roman" w:hAnsi="Times New Roman"/>
            <w:b w:val="false"/>
            <w:i w:val="false"/>
            <w:color w:val="000000"/>
            <w:sz w:val="22"/>
          </w:rPr>
          <w:t>249F.3(3)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249F.3(4)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441—89.7</w:t>
      </w:r>
      <w:r>
        <w:rPr>
          <w:rFonts w:ascii="Times New Roman" w:hAnsi="Times New Roman"/>
          <w:b/>
          <w:i w:val="false"/>
          <w:color w:val="000000"/>
          <w:sz w:val="22"/>
        </w:rPr>
        <w:t xml:space="preserve">(249F) </w:t>
      </w:r>
      <w:r>
        <w:rPr>
          <w:rFonts w:ascii="Times New Roman" w:hAnsi="Times New Roman"/>
          <w:b/>
          <w:i w:val="false"/>
          <w:color w:val="000000"/>
          <w:sz w:val="22"/>
        </w:rPr>
        <w:t xml:space="preserve">Timely request for a hearing. </w:t>
      </w:r>
      <w:r>
        <w:rPr>
          <w:rFonts w:ascii="Times New Roman" w:hAnsi="Times New Roman"/>
          <w:b w:val="false"/>
          <w:i w:val="false"/>
          <w:color w:val="000000"/>
          <w:sz w:val="22"/>
        </w:rPr>
        <w:t xml:space="preserve">If a timely written request for a hearing is received by the department, the department will certify the matter for hearing to the district court pursuant to Iowa Code section </w:t>
      </w:r>
      <w:hyperlink r:id="rId14">
        <w:r>
          <w:rPr>
            <w:rStyle w:val="Hyperlink"/>
            <w:rFonts w:ascii="Times New Roman" w:hAnsi="Times New Roman"/>
            <w:b w:val="false"/>
            <w:i w:val="false"/>
            <w:color w:val="000000"/>
            <w:sz w:val="22"/>
          </w:rPr>
          <w:t>249F.4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441—89.8</w:t>
      </w:r>
      <w:r>
        <w:rPr>
          <w:rFonts w:ascii="Times New Roman" w:hAnsi="Times New Roman"/>
          <w:b/>
          <w:i w:val="false"/>
          <w:color w:val="000000"/>
          <w:sz w:val="22"/>
        </w:rPr>
        <w:t xml:space="preserve">(249F) </w:t>
      </w:r>
      <w:r>
        <w:rPr>
          <w:rFonts w:ascii="Times New Roman" w:hAnsi="Times New Roman"/>
          <w:b/>
          <w:i w:val="false"/>
          <w:color w:val="000000"/>
          <w:sz w:val="22"/>
        </w:rPr>
        <w:t xml:space="preserve">Department-requested hearing. </w:t>
      </w:r>
      <w:r>
        <w:rPr>
          <w:rFonts w:ascii="Times New Roman" w:hAnsi="Times New Roman"/>
          <w:b w:val="false"/>
          <w:i w:val="false"/>
          <w:color w:val="000000"/>
          <w:sz w:val="22"/>
        </w:rPr>
        <w:t>The department may also request a hearing on its own motion regarding the determination of a debt at any time prior to entry of an administrative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441—89.9</w:t>
      </w:r>
      <w:r>
        <w:rPr>
          <w:rFonts w:ascii="Times New Roman" w:hAnsi="Times New Roman"/>
          <w:b/>
          <w:i w:val="false"/>
          <w:color w:val="000000"/>
          <w:sz w:val="22"/>
        </w:rPr>
        <w:t xml:space="preserve">(249F) </w:t>
      </w:r>
      <w:r>
        <w:rPr>
          <w:rFonts w:ascii="Times New Roman" w:hAnsi="Times New Roman"/>
          <w:b/>
          <w:i w:val="false"/>
          <w:color w:val="000000"/>
          <w:sz w:val="22"/>
        </w:rPr>
        <w:t xml:space="preserve">Filing and docketing of the order. </w:t>
      </w:r>
      <w:r>
        <w:rPr>
          <w:rFonts w:ascii="Times New Roman" w:hAnsi="Times New Roman"/>
          <w:b w:val="false"/>
          <w:i w:val="false"/>
          <w:color w:val="000000"/>
          <w:sz w:val="22"/>
        </w:rPr>
        <w:t xml:space="preserve">An order may be filed pursuant to Iowa Code section </w:t>
      </w:r>
      <w:hyperlink r:id="rId15">
        <w:r>
          <w:rPr>
            <w:rStyle w:val="Hyperlink"/>
            <w:rFonts w:ascii="Times New Roman" w:hAnsi="Times New Roman"/>
            <w:b w:val="false"/>
            <w:i w:val="false"/>
            <w:color w:val="000000"/>
            <w:sz w:val="22"/>
          </w:rPr>
          <w:t>249F.5(1)</w:t>
        </w:r>
      </w:hyperlink>
      <w:r>
        <w:rPr>
          <w:rFonts w:ascii="Times New Roman" w:hAnsi="Times New Roman"/>
          <w:b w:val="false"/>
          <w:i w:val="false"/>
          <w:color w:val="000000"/>
          <w:sz w:val="22"/>
        </w:rPr>
        <w:t>. The department’s order shall be presented, ex parte, to the district court for review and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441—89.10</w:t>
      </w:r>
      <w:r>
        <w:rPr>
          <w:rFonts w:ascii="Times New Roman" w:hAnsi="Times New Roman"/>
          <w:b/>
          <w:i w:val="false"/>
          <w:color w:val="000000"/>
          <w:sz w:val="22"/>
        </w:rPr>
        <w:t xml:space="preserve">(249F) </w:t>
      </w:r>
      <w:r>
        <w:rPr>
          <w:rFonts w:ascii="Times New Roman" w:hAnsi="Times New Roman"/>
          <w:b/>
          <w:i w:val="false"/>
          <w:color w:val="000000"/>
          <w:sz w:val="22"/>
        </w:rPr>
        <w:t xml:space="preserve">Exemption from Iowa Code chapter 17A. </w:t>
      </w:r>
      <w:r>
        <w:rPr>
          <w:rFonts w:ascii="Times New Roman" w:hAnsi="Times New Roman"/>
          <w:b w:val="false"/>
          <w:i w:val="false"/>
          <w:color w:val="000000"/>
          <w:sz w:val="22"/>
        </w:rPr>
        <w:t xml:space="preserve">Actions initiated under Iowa Code chapter </w:t>
      </w:r>
      <w:hyperlink r:id="rId16">
        <w:r>
          <w:rPr>
            <w:rStyle w:val="Hyperlink"/>
            <w:rFonts w:ascii="Times New Roman" w:hAnsi="Times New Roman"/>
            <w:b w:val="false"/>
            <w:i w:val="false"/>
            <w:color w:val="000000"/>
            <w:sz w:val="22"/>
          </w:rPr>
          <w:t>249F</w:t>
        </w:r>
      </w:hyperlink>
      <w:r>
        <w:rPr>
          <w:rFonts w:ascii="Times New Roman" w:hAnsi="Times New Roman"/>
          <w:b w:val="false"/>
          <w:i w:val="false"/>
          <w:color w:val="000000"/>
          <w:sz w:val="22"/>
        </w:rPr>
        <w:t xml:space="preserve"> are not subject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Review by the district court shall be an original hearing before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249F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8/15/96, Notice 6/19/96—published 9/11/96, effective 11/1/96]</w:t>
      </w:r>
    </w:p>
    <w:p>
      <w:pPr>
        <w:spacing w:before="0" w:after="0"/>
        <w:ind w:left="120"/>
        <w:jc w:val="center"/>
      </w:pPr>
      <w:r>
        <w:rPr>
          <w:rFonts w:ascii="Times New Roman" w:hAnsi="Times New Roman"/>
          <w:b w:val="false"/>
          <w:i w:val="false"/>
          <w:color w:val="000000"/>
          <w:sz w:val="21"/>
        </w:rPr>
        <w:t>[Filed 7/14/99, Notice 6/2/99—published 8/11/99, effective 10/1/99]</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ARC 6560C</w:t>
      </w:r>
      <w:r>
        <w:rPr>
          <w:rFonts w:ascii="Times New Roman" w:hAnsi="Times New Roman"/>
          <w:b w:val="false"/>
          <w:i w:val="false"/>
          <w:color w:val="000000"/>
          <w:sz w:val="21"/>
        </w:rPr>
        <w:t xml:space="preserve"> (Notice ARC 6409C, IAB 7/13/22)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9313C</w:t>
      </w:r>
      <w:r>
        <w:rPr>
          <w:rFonts w:ascii="Times New Roman" w:hAnsi="Times New Roman"/>
          <w:b w:val="false"/>
          <w:i w:val="false"/>
          <w:color w:val="000000"/>
          <w:sz w:val="21"/>
        </w:rPr>
        <w:t xml:space="preserve"> (Notice ARC 8660C, IAB 12/25/24)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F.1.pdf" Type="http://schemas.openxmlformats.org/officeDocument/2006/relationships/hyperlink" Id="rId5"/>
    <Relationship TargetMode="External" Target="https://www.legis.iowa.gov/docs/ico/chapter/702.14.pdf" Type="http://schemas.openxmlformats.org/officeDocument/2006/relationships/hyperlink" Id="rId6"/>
    <Relationship TargetMode="External" Target="https://www.legis.iowa.gov/docs/iac/rule/441.89.3.pdf" Type="http://schemas.openxmlformats.org/officeDocument/2006/relationships/hyperlink" Id="rId7"/>
    <Relationship TargetMode="External" Target="https://www.legis.iowa.gov/docs/iac/rule/441.89.2.pdf" Type="http://schemas.openxmlformats.org/officeDocument/2006/relationships/hyperlink" Id="rId8"/>
    <Relationship TargetMode="External" Target="https://www.legis.iowa.gov/docs/ico/chapter/249F.1.pdf" Type="http://schemas.openxmlformats.org/officeDocument/2006/relationships/hyperlink" Id="rId9"/>
    <Relationship TargetMode="External" Target="https://www.legis.iowa.gov/docs/iac/rule/441.89.2.pdf" Type="http://schemas.openxmlformats.org/officeDocument/2006/relationships/hyperlink" Id="rId10"/>
    <Relationship TargetMode="External" Target="https://www.legis.iowa.gov/docs/ico/chapter/249F.3.pdf" Type="http://schemas.openxmlformats.org/officeDocument/2006/relationships/hyperlink" Id="rId11"/>
    <Relationship TargetMode="External" Target="https://www.legis.iowa.gov/docs/ico/chapter/249F.3.pdf" Type="http://schemas.openxmlformats.org/officeDocument/2006/relationships/hyperlink" Id="rId12"/>
    <Relationship TargetMode="External" Target="https://www.legis.iowa.gov/docs/ico/chapter/249F.3.pdf" Type="http://schemas.openxmlformats.org/officeDocument/2006/relationships/hyperlink" Id="rId13"/>
    <Relationship TargetMode="External" Target="https://www.legis.iowa.gov/docs/ico/chapter/249F.4.pdf" Type="http://schemas.openxmlformats.org/officeDocument/2006/relationships/hyperlink" Id="rId14"/>
    <Relationship TargetMode="External" Target="https://www.legis.iowa.gov/docs/ico/chapter/249F.5.pdf" Type="http://schemas.openxmlformats.org/officeDocument/2006/relationships/hyperlink" Id="rId15"/>
    <Relationship TargetMode="External" Target="https://www.legis.iowa.gov/docs/ico/chapter/249F.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49F.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