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87</w:t>
      </w:r>
    </w:p>
    <w:p>
      <w:pPr>
        <w:spacing w:before="0" w:after="0"/>
        <w:ind w:left="120"/>
        <w:jc w:val="center"/>
      </w:pPr>
      <w:r>
        <w:rPr>
          <w:rFonts w:ascii="Times New Roman" w:hAnsi="Times New Roman"/>
          <w:b w:val="false"/>
          <w:i w:val="false"/>
          <w:color w:val="000000"/>
          <w:sz w:val="21"/>
        </w:rPr>
        <w:t>FAMILY PLANNING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2/1/31</w:t>
      </w:r>
    </w:p>
    <w:p>
      <w:pPr>
        <w:spacing w:before="0" w:after="0"/>
        <w:ind w:left="120"/>
        <w:jc w:val="both"/>
      </w:pPr>
      <w:r>
        <w:rPr>
          <w:rFonts w:ascii="Times New Roman" w:hAnsi="Times New Roman"/>
          <w:b/>
          <w:i w:val="false"/>
          <w:color w:val="000000"/>
          <w:sz w:val="22"/>
        </w:rPr>
        <w:t>441—87.1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applies for assistance under the family planning program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agency” </w:t>
      </w:r>
      <w:r>
        <w:rPr>
          <w:rFonts w:ascii="Times New Roman" w:hAnsi="Times New Roman"/>
          <w:b w:val="false"/>
          <w:i w:val="false"/>
          <w:color w:val="000000"/>
          <w:sz w:val="22"/>
        </w:rPr>
        <w:t xml:space="preserve">means an agency or entity with an executed memorandum of understanding (MOU) with the department authorizing the agency to perform point-of-service eligibility determinations for the family planning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“Citizen”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“citizenship” </w:t>
      </w:r>
      <w:r>
        <w:rPr>
          <w:rFonts w:ascii="Times New Roman" w:hAnsi="Times New Roman"/>
          <w:b w:val="false"/>
          <w:i w:val="false"/>
          <w:color w:val="000000"/>
          <w:sz w:val="22"/>
        </w:rPr>
        <w:t xml:space="preserve">includes both citizens of the United States and nationals of the United States as defined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1101(a)(22)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planning services” </w:t>
      </w:r>
      <w:r>
        <w:rPr>
          <w:rFonts w:ascii="Times New Roman" w:hAnsi="Times New Roman"/>
          <w:b w:val="false"/>
          <w:i w:val="false"/>
          <w:color w:val="000000"/>
          <w:sz w:val="22"/>
        </w:rPr>
        <w:t xml:space="preserve">means pregnancy prevention and related reproductive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 xml:space="preserve">means the levels published and updated periodically in the Federal Register by the United States Department of Health and Human Services (DHHS) under the authority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9902(2) as amended to August 1, 2024, and revised annually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 </w:t>
      </w:r>
      <w:r>
        <w:rPr>
          <w:rFonts w:ascii="Times New Roman" w:hAnsi="Times New Roman"/>
          <w:b w:val="false"/>
          <w:i w:val="false"/>
          <w:color w:val="000000"/>
          <w:sz w:val="22"/>
        </w:rPr>
        <w:t>means the Immigration and Nationality Act of 1952. All references to the INA herein are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 person who has been determined eligible and is a current or former recipient of family planning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“Noncitizen” </w:t>
      </w:r>
      <w:r>
        <w:rPr>
          <w:rFonts w:ascii="Times New Roman" w:hAnsi="Times New Roman"/>
          <w:b w:val="false"/>
          <w:i w:val="false"/>
          <w:color w:val="000000"/>
          <w:sz w:val="22"/>
        </w:rPr>
        <w:t xml:space="preserve">means the same as the term “alien” as defined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1101(a)(3)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noncitizen” </w:t>
      </w:r>
      <w:r>
        <w:rPr>
          <w:rFonts w:ascii="Times New Roman" w:hAnsi="Times New Roman"/>
          <w:b w:val="false"/>
          <w:i w:val="false"/>
          <w:color w:val="000000"/>
          <w:sz w:val="22"/>
        </w:rPr>
        <w:t xml:space="preserve">means the same as the term “qualified alien” as defined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1641(b) and (c), as amended to August 1, 2024, and refers to a person who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Lawfully admitted for permanent residence in the United States under the INA;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Granted asylum in the United States under Section 208 of the INA;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refugee admitted to the United States under Section 207 of the INA;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Paroled into the United States under Section 212(d)(5) of the INA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person whose deportation from the United States is withheld under Section 243(h) of the INA as in effect before April 1, 1997, or under Section 241(b)(3) of the INA;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An Amerasian admitted to the United States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 as amended to August 1, 2024;</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Cuban/Haitian entrant to the United States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1641(b)(7) as amended to August 1, 2024;</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 battered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as amended to August 1, 2024;</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Certified as a victim of trafficking as described in Section 107(b)(1)(A) of PL 106-386 as amended to August 1, 2024;</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An American Indian born in Canada to whom Section 289 of the INA applies or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 as amended to August 1, 2024;</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Under the age of 21 and lawfully residing in the United States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 as amended to August 1, 2024; or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PL 116-260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quarters” </w:t>
      </w:r>
      <w:r>
        <w:rPr>
          <w:rFonts w:ascii="Times New Roman" w:hAnsi="Times New Roman"/>
          <w:b w:val="false"/>
          <w:i w:val="false"/>
          <w:color w:val="000000"/>
          <w:sz w:val="22"/>
        </w:rPr>
        <w:t xml:space="preserve">means all of the qualifying quarters of coverage as defined under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as amended to August 1, 2024, worked by a parent of a noncitizen while the noncitizen was under the age of 18 and all of the qualifying quarters worked by a spouse of the noncitizen during their marriage if the noncitizen remains married to the spouse or the spouse is deceased. No qualifying quarters of coverage that are creditable under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as amended to August 1, 2024, for any period beginning after December 31, 1996, may be credited to a noncitizen if the parent or spouse of the noncitizen received any federal means-tested public benefit during the period for which the qualifying quarter is credited.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441—87.2</w:t>
      </w:r>
      <w:r>
        <w:rPr>
          <w:rFonts w:ascii="Times New Roman" w:hAnsi="Times New Roman"/>
          <w:b/>
          <w:i w:val="false"/>
          <w:color w:val="000000"/>
          <w:sz w:val="22"/>
        </w:rPr>
        <w:t xml:space="preserve">(217) </w:t>
      </w:r>
      <w:r>
        <w:rPr>
          <w:rFonts w:ascii="Times New Roman" w:hAnsi="Times New Roman"/>
          <w:b/>
          <w:i w:val="false"/>
          <w:color w:val="000000"/>
          <w:sz w:val="22"/>
        </w:rPr>
        <w:t xml:space="preserve">Eligibility. </w:t>
      </w:r>
      <w:r>
        <w:rPr>
          <w:rFonts w:ascii="Times New Roman" w:hAnsi="Times New Roman"/>
          <w:b w:val="false"/>
          <w:i w:val="false"/>
          <w:color w:val="000000"/>
          <w:sz w:val="22"/>
        </w:rPr>
        <w:t>Eligibility for the family planning program will be determined according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87.2(1)</w:t>
      </w:r>
      <w:r>
        <w:rPr>
          <w:rFonts w:ascii="Times New Roman" w:hAnsi="Times New Roman"/>
          <w:b w:val="false"/>
          <w:i w:val="false"/>
          <w:color w:val="000000"/>
          <w:sz w:val="22"/>
        </w:rPr>
        <w:t> </w:t>
      </w:r>
      <w:r>
        <w:rPr>
          <w:rFonts w:ascii="Times New Roman" w:hAnsi="Times New Roman"/>
          <w:b w:val="false"/>
          <w:i/>
          <w:color w:val="000000"/>
          <w:sz w:val="22"/>
        </w:rPr>
        <w:t xml:space="preserve">Persons covered. </w:t>
      </w:r>
      <w:r>
        <w:rPr>
          <w:rFonts w:ascii="Times New Roman" w:hAnsi="Times New Roman"/>
          <w:b w:val="false"/>
          <w:i w:val="false"/>
          <w:color w:val="000000"/>
          <w:sz w:val="22"/>
        </w:rPr>
        <w:t xml:space="preserve">Subject to funding as described in subrule </w:t>
      </w:r>
      <w:hyperlink r:id="rId5">
        <w:r>
          <w:rPr>
            <w:rStyle w:val="Hyperlink"/>
            <w:rFonts w:ascii="Times New Roman" w:hAnsi="Times New Roman"/>
            <w:b w:val="false"/>
            <w:i w:val="false"/>
            <w:color w:val="000000"/>
            <w:sz w:val="22"/>
          </w:rPr>
          <w:t>87.7(1)</w:t>
        </w:r>
      </w:hyperlink>
      <w:r>
        <w:rPr>
          <w:rFonts w:ascii="Times New Roman" w:hAnsi="Times New Roman"/>
          <w:b w:val="false"/>
          <w:i w:val="false"/>
          <w:color w:val="000000"/>
          <w:sz w:val="22"/>
        </w:rPr>
        <w:t xml:space="preserve"> and to the requirements of subrules </w:t>
      </w:r>
      <w:hyperlink r:id="rId6">
        <w:r>
          <w:rPr>
            <w:rStyle w:val="Hyperlink"/>
            <w:rFonts w:ascii="Times New Roman" w:hAnsi="Times New Roman"/>
            <w:b w:val="false"/>
            <w:i w:val="false"/>
            <w:color w:val="000000"/>
            <w:sz w:val="22"/>
          </w:rPr>
          <w:t>87.2(2)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87.2(4)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87.2(6)</w:t>
        </w:r>
      </w:hyperlink>
      <w:r>
        <w:rPr>
          <w:rFonts w:ascii="Times New Roman" w:hAnsi="Times New Roman"/>
          <w:b w:val="false"/>
          <w:i w:val="false"/>
          <w:color w:val="000000"/>
          <w:sz w:val="22"/>
        </w:rPr>
        <w:t xml:space="preserve">, assistance for family planning services will be available to the following individuals who are not enrolled in medical assistance pursuant to </w:t>
      </w:r>
      <w:hyperlink r:id="rId9">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Women who were enrolled in medical assistance when their pregnancy ended and who are capable of bearing children but are not pregnant. Eligibility for these women extends for 12 consecutive months plus 60 days after their pregnancy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Women who are under the age of 55, who are capable of bearing children but are not pregnant, and who have household income that does not exceed 300 percent of the federal poverty level as determined pursuant to subrule </w:t>
      </w:r>
      <w:hyperlink r:id="rId11">
        <w:r>
          <w:rPr>
            <w:rStyle w:val="Hyperlink"/>
            <w:rFonts w:ascii="Times New Roman" w:hAnsi="Times New Roman"/>
            <w:b w:val="false"/>
            <w:i w:val="false"/>
            <w:color w:val="000000"/>
            <w:sz w:val="22"/>
          </w:rPr>
          <w:t>87.2(3)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Men who are under the age of 55, who are capable of fathering children, and who have household income that does not exceed 300 percent of the federal poverty level as determined pursuant to subrule </w:t>
      </w:r>
      <w:hyperlink r:id="rId12">
        <w:r>
          <w:rPr>
            <w:rStyle w:val="Hyperlink"/>
            <w:rFonts w:ascii="Times New Roman" w:hAnsi="Times New Roman"/>
            <w:b w:val="false"/>
            <w:i w:val="false"/>
            <w:color w:val="000000"/>
            <w:sz w:val="22"/>
          </w:rPr>
          <w:t>87.2(3)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87.2(2)</w:t>
      </w:r>
      <w:r>
        <w:rPr>
          <w:rFonts w:ascii="Times New Roman" w:hAnsi="Times New Roman"/>
          <w:b w:val="false"/>
          <w:i w:val="false"/>
          <w:color w:val="000000"/>
          <w:sz w:val="22"/>
        </w:rPr>
        <w:t> </w:t>
      </w:r>
      <w:r>
        <w:rPr>
          <w:rFonts w:ascii="Times New Roman" w:hAnsi="Times New Roman"/>
          <w:b w:val="false"/>
          <w:i/>
          <w:color w:val="000000"/>
          <w:sz w:val="22"/>
        </w:rPr>
        <w:t xml:space="preserve">Furnishing of social security number. </w:t>
      </w:r>
      <w:r>
        <w:rPr>
          <w:rFonts w:ascii="Times New Roman" w:hAnsi="Times New Roman"/>
          <w:b w:val="false"/>
          <w:i w:val="false"/>
          <w:color w:val="000000"/>
          <w:sz w:val="22"/>
        </w:rPr>
        <w:t xml:space="preserve">As a condition of eligibility, except as provided by paragraph </w:t>
      </w:r>
      <w:hyperlink r:id="rId13">
        <w:r>
          <w:rPr>
            <w:rStyle w:val="Hyperlink"/>
            <w:rFonts w:ascii="Times New Roman" w:hAnsi="Times New Roman"/>
            <w:b w:val="false"/>
            <w:i w:val="false"/>
            <w:color w:val="000000"/>
            <w:sz w:val="22"/>
          </w:rPr>
          <w:t>87.2(2)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 applicant or member must provide to the department or authorized agency, as applicable, all social security numbers issued to each individual (including children) for whom family planning services are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of furnishing a social security number does not apply to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eligible to receive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Does not have a social security number and may only be issued a social security number for a valid nonwork reason in accordance with </w:t>
      </w:r>
      <w:r>
        <w:rPr>
          <w:rFonts w:ascii="Times New Roman" w:hAnsi="Times New Roman"/>
          <w:b w:val="false"/>
          <w:i w:val="false"/>
          <w:color w:val="000000"/>
          <w:sz w:val="22"/>
        </w:rPr>
        <w:t>20 CFR §422.104</w:t>
      </w:r>
      <w:r>
        <w:rPr>
          <w:rFonts w:ascii="Times New Roman" w:hAnsi="Times New Roman"/>
          <w:b w:val="false"/>
          <w:i w:val="false"/>
          <w:color w:val="000000"/>
          <w:sz w:val="22"/>
        </w:rPr>
        <w:t xml:space="preserve"> as amended to March 15, 2022;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Refuses to obtain a social security number because of a well-established religious objection. For this purpose, a well-established religious objection means that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of a recognized religious sect or division of a sect;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Adheres to the tenets or teachings of the sect or division of the sect and for that reason is conscientiously opposed to applying for or using a national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required social security number has not been issued or is not known, the individual seeking coverage under the family planning program must cooperate with the department or authorized agency, as applicable, in applying for a social security number with the Social Security Administration or in requesting the Social Security Administration to furnish the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household income. </w:t>
      </w:r>
      <w:r>
        <w:rPr>
          <w:rFonts w:ascii="Times New Roman" w:hAnsi="Times New Roman"/>
          <w:b w:val="false"/>
          <w:i w:val="false"/>
          <w:color w:val="000000"/>
          <w:sz w:val="22"/>
        </w:rPr>
        <w:t xml:space="preserve">The department will determine the countable household income of an individual applying under paragraph </w:t>
      </w:r>
      <w:hyperlink r:id="rId14">
        <w:r>
          <w:rPr>
            <w:rStyle w:val="Hyperlink"/>
            <w:rFonts w:ascii="Times New Roman" w:hAnsi="Times New Roman"/>
            <w:b w:val="false"/>
            <w:i w:val="false"/>
            <w:color w:val="000000"/>
            <w:sz w:val="22"/>
          </w:rPr>
          <w:t>87.2(1)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Household 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 includes the applicant or member, any dependent children, as defined below, living in the same home as the applicant or member, and any spouse living in the same home as the applicant or member, except when a dependent child or spouse has elected to receive supplemental security income under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Definition of dependent children. A dependent child is one under the age of 18 years or aged 18 years who is a full-time student in a secondary school, or in the equivalent level of vocational or technical training, and who is reasonably expected to complete the program before reaching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 xml:space="preserve">All earned income that is received by a member of the household shall be counted except for earnings of a child who is a full-time student as defined in subparagraph </w:t>
      </w:r>
      <w:hyperlink r:id="rId15">
        <w:r>
          <w:rPr>
            <w:rStyle w:val="Hyperlink"/>
            <w:rFonts w:ascii="Times New Roman" w:hAnsi="Times New Roman"/>
            <w:b w:val="false"/>
            <w:i w:val="false"/>
            <w:color w:val="000000"/>
            <w:sz w:val="22"/>
          </w:rPr>
          <w:t>87.2(3)</w:t>
        </w:r>
      </w:hyperlink>
      <w:r>
        <w:rPr>
          <w:rFonts w:ascii="Times New Roman" w:hAnsi="Times New Roman"/>
          <w:b w:val="false"/>
          <w:i/>
          <w:color w:val="000000"/>
          <w:sz w:val="22"/>
        </w:rPr>
        <w:t>“a”</w:t>
      </w:r>
      <w:r>
        <w:rPr>
          <w:rFonts w:ascii="Times New Roman" w:hAnsi="Times New Roman"/>
          <w:b w:val="false"/>
          <w:i w:val="false"/>
          <w:color w:val="000000"/>
          <w:sz w:val="22"/>
        </w:rPr>
        <w:t>(1). Earned income including but not limited to the following will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Bonuses.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Income from Job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Earnings from self-employment defined as gross income less the allowable costs of producing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The following unearned income of all household members will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Unemployment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security and railroad retirement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Workers’ compensation and disability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Benefits paid by the U.S. Department of Veterans Affairs to disabled members of the armed forces or survivors of deceased veterans.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Deemed income. </w:t>
      </w:r>
      <w:r>
        <w:rPr>
          <w:rFonts w:ascii="Times New Roman" w:hAnsi="Times New Roman"/>
          <w:b w:val="false"/>
          <w:i w:val="false"/>
          <w:color w:val="000000"/>
          <w:sz w:val="22"/>
        </w:rPr>
        <w:t xml:space="preserve">Income deeming for a sponsored alien will be determined pursuant to subrule </w:t>
      </w:r>
      <w:hyperlink r:id="rId16">
        <w:r>
          <w:rPr>
            <w:rStyle w:val="Hyperlink"/>
            <w:rFonts w:ascii="Times New Roman" w:hAnsi="Times New Roman"/>
            <w:b w:val="false"/>
            <w:i w:val="false"/>
            <w:color w:val="000000"/>
            <w:sz w:val="22"/>
          </w:rPr>
          <w:t>87.2(5)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Deductions. </w:t>
      </w:r>
      <w:r>
        <w:rPr>
          <w:rFonts w:ascii="Times New Roman" w:hAnsi="Times New Roman"/>
          <w:b w:val="false"/>
          <w:i w:val="false"/>
          <w:color w:val="000000"/>
          <w:sz w:val="22"/>
        </w:rPr>
        <w:t>Deductions from income will be made for any payments made by household members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Court-ordered child support, alimony, or spousal support paid to nonhousehold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 percent of nonexempt earnings.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expenses or expenses related to care for an incapacitated adult. This deduction cannot exceed $200 per month for each child under the age of two and $175 per month for each adult or child aged two or 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87.2(4)</w:t>
      </w:r>
      <w:r>
        <w:rPr>
          <w:rFonts w:ascii="Times New Roman" w:hAnsi="Times New Roman"/>
          <w:b w:val="false"/>
          <w:i w:val="false"/>
          <w:color w:val="000000"/>
          <w:sz w:val="22"/>
        </w:rPr>
        <w:t> </w:t>
      </w:r>
      <w:r>
        <w:rPr>
          <w:rFonts w:ascii="Times New Roman" w:hAnsi="Times New Roman"/>
          <w:b w:val="false"/>
          <w:i/>
          <w:color w:val="000000"/>
          <w:sz w:val="22"/>
        </w:rPr>
        <w:t xml:space="preserve">Citizenship or 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the family planning program, a person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citizen or national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continuously present (as described in Interim Guidance on Verification of Citizenship, Qualified Alien Status and Eligibility, under </w:t>
      </w:r>
      <w:r>
        <w:rPr>
          <w:rFonts w:ascii="Times New Roman" w:hAnsi="Times New Roman"/>
          <w:b w:val="false"/>
          <w:i w:val="false"/>
          <w:color w:val="000000"/>
          <w:sz w:val="22"/>
        </w:rPr>
        <w:t>Title IV of the Personal Responsibility and Work Opportunity Reconciliation Act</w:t>
      </w:r>
      <w:r>
        <w:rPr>
          <w:rFonts w:ascii="Times New Roman" w:hAnsi="Times New Roman"/>
          <w:b w:val="false"/>
          <w:i w:val="false"/>
          <w:color w:val="000000"/>
          <w:sz w:val="22"/>
        </w:rPr>
        <w:t xml:space="preserve"> (PRWORA) at 62 CFR §61415 dated November 11, 1997, as amended to August 1, 2024) in the United States since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refugee admitted to the United States under </w:t>
      </w:r>
      <w:r>
        <w:rPr>
          <w:rFonts w:ascii="Times New Roman" w:hAnsi="Times New Roman"/>
          <w:b w:val="false"/>
          <w:i w:val="false"/>
          <w:color w:val="000000"/>
          <w:sz w:val="22"/>
        </w:rPr>
        <w:t>Section 207 of the INA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noncitizen who has been granted asylum under Section 208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noncitizen whose deportation is withheld under Section 243(h) or 241(b)(3)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is the spouse or unmarried dependent child of a qualified noncitizen described in subparagraph </w:t>
      </w:r>
      <w:hyperlink r:id="rId17">
        <w:r>
          <w:rPr>
            <w:rStyle w:val="Hyperlink"/>
            <w:rFonts w:ascii="Times New Roman" w:hAnsi="Times New Roman"/>
            <w:b w:val="false"/>
            <w:i w:val="false"/>
            <w:color w:val="000000"/>
            <w:sz w:val="22"/>
          </w:rPr>
          <w:t>87.2(4)</w:t>
        </w:r>
      </w:hyperlink>
      <w:r>
        <w:rPr>
          <w:rFonts w:ascii="Times New Roman" w:hAnsi="Times New Roman"/>
          <w:b w:val="false"/>
          <w:i/>
          <w:color w:val="000000"/>
          <w:sz w:val="22"/>
        </w:rPr>
        <w:t>“a”</w:t>
      </w:r>
      <w:r>
        <w:rPr>
          <w:rFonts w:ascii="Times New Roman" w:hAnsi="Times New Roman"/>
          <w:b w:val="false"/>
          <w:i w:val="false"/>
          <w:color w:val="000000"/>
          <w:sz w:val="22"/>
        </w:rPr>
        <w:t xml:space="preserve">(7) or </w:t>
      </w:r>
      <w:r>
        <w:rPr>
          <w:rFonts w:ascii="Times New Roman" w:hAnsi="Times New Roman"/>
          <w:b w:val="false"/>
          <w:i/>
          <w:color w:val="000000"/>
          <w:sz w:val="22"/>
        </w:rPr>
        <w:t>“a”</w:t>
      </w:r>
      <w:r>
        <w:rPr>
          <w:rFonts w:ascii="Times New Roman" w:hAnsi="Times New Roman"/>
          <w:b w:val="false"/>
          <w:i w:val="false"/>
          <w:color w:val="000000"/>
          <w:sz w:val="22"/>
        </w:rPr>
        <w:t>(8),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has resided in the United States for a period of at least five years beginning on the date of the qualified noncitizen’s entry into the United States with a status within the meaning of subparagraph </w:t>
      </w:r>
      <w:hyperlink r:id="rId18">
        <w:r>
          <w:rPr>
            <w:rStyle w:val="Hyperlink"/>
            <w:rFonts w:ascii="Times New Roman" w:hAnsi="Times New Roman"/>
            <w:b w:val="false"/>
            <w:i w:val="false"/>
            <w:color w:val="000000"/>
            <w:sz w:val="22"/>
          </w:rPr>
          <w:t>87.2(4)</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color w:val="000000"/>
          <w:sz w:val="22"/>
        </w:rPr>
        <w:t>“a”</w:t>
      </w:r>
      <w:r>
        <w:rPr>
          <w:rFonts w:ascii="Times New Roman" w:hAnsi="Times New Roman"/>
          <w:b w:val="false"/>
          <w:i w:val="false"/>
          <w:color w:val="000000"/>
          <w:sz w:val="22"/>
        </w:rPr>
        <w:t xml:space="preserve">(9) under the definition of “qualified noncitizen” in rule </w:t>
      </w:r>
      <w:hyperlink r:id="rId19">
        <w:r>
          <w:rPr>
            <w:rStyle w:val="Hyperlink"/>
            <w:rFonts w:ascii="Times New Roman" w:hAnsi="Times New Roman"/>
            <w:b w:val="false"/>
            <w:i w:val="false"/>
            <w:color w:val="000000"/>
            <w:sz w:val="22"/>
          </w:rPr>
          <w:t>441—87.1</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Amerasian admitted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Cuban/Haitian entrant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1641(b)(7)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certified victim of trafficking as described in Section 107(b)(1)(A) of PL 106-386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American Indian born in Canada to whom Section 289 of the INA applies or who is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PL 110-181 as amended to August 1, 2024, or to Section 602(b)(8) of PL 111-8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 Afghan paroled into the United States treated as a refugee pursuant to Section 2502 of PL 117-43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PL 116-260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conditional entrant pursuant to Section 203(a)(7) of the INA as in effect before April 1,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all applicants for or members of the family planning program shall attest to their citizenship or qualified noncitizen status by signing the application or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0">
        <w:r>
          <w:rPr>
            <w:rStyle w:val="Hyperlink"/>
            <w:rFonts w:ascii="Times New Roman" w:hAnsi="Times New Roman"/>
            <w:b w:val="false"/>
            <w:i w:val="false"/>
            <w:color w:val="000000"/>
            <w:sz w:val="22"/>
          </w:rPr>
          <w:t>87.2(4)</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applicants or members for whom an attestation of United States citizenship has been made pursuant to paragraph </w:t>
      </w:r>
      <w:hyperlink r:id="rId21">
        <w:r>
          <w:rPr>
            <w:rStyle w:val="Hyperlink"/>
            <w:rFonts w:ascii="Times New Roman" w:hAnsi="Times New Roman"/>
            <w:b w:val="false"/>
            <w:i w:val="false"/>
            <w:color w:val="000000"/>
            <w:sz w:val="22"/>
          </w:rPr>
          <w:t>87.2(4)</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present satisfactory documentation of citizenship as described in paragraph </w:t>
      </w:r>
      <w:hyperlink r:id="rId22">
        <w:r>
          <w:rPr>
            <w:rStyle w:val="Hyperlink"/>
            <w:rFonts w:ascii="Times New Roman" w:hAnsi="Times New Roman"/>
            <w:b w:val="false"/>
            <w:i w:val="false"/>
            <w:color w:val="000000"/>
            <w:sz w:val="22"/>
          </w:rPr>
          <w:t>87.2(4)</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A reference to a form in paragraph </w:t>
      </w:r>
      <w:hyperlink r:id="rId23">
        <w:r>
          <w:rPr>
            <w:rStyle w:val="Hyperlink"/>
            <w:rFonts w:ascii="Times New Roman" w:hAnsi="Times New Roman"/>
            <w:b w:val="false"/>
            <w:i w:val="false"/>
            <w:color w:val="000000"/>
            <w:sz w:val="22"/>
          </w:rPr>
          <w:t>87.2(4)</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includes any successor form. An applicant or member who attests to citizenship must also verify the applicant’s identity. An applicant or member shall have a reasonable period to obtain and provide required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requirement, the “reasonable period” begins on the date a written request for documentation is issued to an applicant or member and continues for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planning services will be approved for new applicants and continue for members not previously required to provide documentation of citizenship or nationality until the end of the reasonable period to obtain and provide required documentation of citizenship or nationality.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documents must be accepted as satisfactory documentation of citizenship and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United States passport, including a U.S. passport card issued by the U.S. Department of State, without regard to any expiration date as long as such passport or card was issued without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Certificate of Naturalization.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Certificate of United States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U.S. state-issued driver’s license, but only if the state issuing the license does either of the following prior to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Requires proof of United States citizenship;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Obtains a social security number from the applicant and verifies before certification that the number is valid and is assigned to the applicant who is a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issued by a federally recognized Indian tribe as described at </w:t>
      </w:r>
      <w:r>
        <w:rPr>
          <w:rFonts w:ascii="Times New Roman" w:hAnsi="Times New Roman"/>
          <w:b w:val="false"/>
          <w:i w:val="false"/>
          <w:color w:val="000000"/>
          <w:sz w:val="22"/>
        </w:rPr>
        <w:t>42 CFR §435.407</w:t>
      </w:r>
      <w:r>
        <w:rPr>
          <w:rFonts w:ascii="Times New Roman" w:hAnsi="Times New Roman"/>
          <w:b w:val="false"/>
          <w:i w:val="false"/>
          <w:color w:val="000000"/>
          <w:sz w:val="22"/>
        </w:rPr>
        <w:t xml:space="preserve"> as amended to March 15, 2022, including but not limited to a tribal enrollment card, a Certificate of Degree of Indian Blood, a tribal census document, or a document on tribal letterhead issued under the signature of the appropriate tribal official. Acceptable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Identifies the federally recognized Indian tribe that issued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Identifies the individual by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Confirms the individual’s membership, enrollment, or affiliation with the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document that provides proof of United States citizenship and provides a reliable means of documentation of personal identity, as the Secretary of the U.S. Department of Health and Human Services may specify by regulation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1396b(x)(3)(B)(v)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documentation of citizenship and identity may also be demonstrated by the combination of any identity document described in paragraph </w:t>
      </w:r>
      <w:hyperlink r:id="rId24">
        <w:r>
          <w:rPr>
            <w:rStyle w:val="Hyperlink"/>
            <w:rFonts w:ascii="Times New Roman" w:hAnsi="Times New Roman"/>
            <w:b w:val="false"/>
            <w:i w:val="false"/>
            <w:color w:val="000000"/>
            <w:sz w:val="22"/>
          </w:rPr>
          <w:t>87.2(4)</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U.S. public birth certificate showing birth in one of the 50 states, the District of Columbia, Puerto Rico (if born on or after January 13, 1941), Guam, the U.S. Virgin Islands, American Samoa, Swain’s Island, or the Commonwealth of the Northern Mariana Islands (CNMI) (if born after November 4, 1986 (CNMI local time)). The birth record document may be issued by a state, commonwealth, territory, or local jurisdiction. If the document shows that the individual was born in Puerto Rico or the Northern Mariana Islands before the applicable date referenced in this paragraph, the individual may be a collectively naturalized citizen. The following establishes U.S. citizenship for collectively naturalized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Puerto Rico: Evidence of birth in Puerto Rico and the applicant’s statement that the applicant was residing in the U.S., a U.S. possession, or Puerto Rico on or after January 13, 1941.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CNMI (formerly part of the Trust Territory of the Pacific Islands (TTPI)): Evidence of birth in the CNMI; evidence of TTPI citizenship and residence in the CNMI, the U.S., or a U.S. territory or possession on or after November 3, 1986 (CNMI local time); and the applicant’s statement that the applicant did not owe allegiance to a foreign state on November 4, 1986 (CNMI local time); evidence of TTPI citizenship, continuous residence in the CNMI since before November 3, 1981 (CNMI local time); voter registration before January 1, 1975; and the applicant’s statement that the applicant did not owe allegiance to a foreign state on November 4, 1986 (CNMI local time); evidence of continuous domicile in the CNMI since before January 1, 1974, and the applicant’s statement that the applicant did not owe allegiance to a foreign state on November 4, 1986 (CNMI local time).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If a person entered the CNMI as a nonimmigrant and lived in the CNMI since January 1, 1974, this does not constitute continuous domicile and the individual is not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Certification of Report of Birth, issued to U.S. citizens who were born outside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Report of Birth Abroad of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certificate of birth in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U.S. Citizen I.D.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Northern Marianas Identification Card issued by the U.S. Department of Homeland Security (or predecessor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final adoption decree showing the child’s name and U.S. place of birth or, if an adoption is not final, a statement from a state-approved adoption agency that shows the child’s name and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Evidence of U.S. Civil Service employment before June 1, 1976.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U.S. military record showing a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a child meets the requirements of </w:t>
      </w:r>
      <w:r>
        <w:rPr>
          <w:rFonts w:ascii="Times New Roman" w:hAnsi="Times New Roman"/>
          <w:b w:val="false"/>
          <w:i w:val="false"/>
          <w:color w:val="000000"/>
          <w:sz w:val="22"/>
        </w:rPr>
        <w:t>Section 101 of the Child Citizenship Act of 2000</w:t>
      </w:r>
      <w:r>
        <w:rPr>
          <w:rFonts w:ascii="Times New Roman" w:hAnsi="Times New Roman"/>
          <w:b w:val="false"/>
          <w:i w:val="false"/>
          <w:color w:val="000000"/>
          <w:sz w:val="22"/>
        </w:rPr>
        <w:t xml:space="preserve"> as amended to August 1, 2024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1431).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Medical records, including but not limited to hospital, clinic, or doctor records or admission papers from a nursing facility, skilled care facility, or other institution that indicate a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life, health, or other insurance record that indicates a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 official religious record recorded in the U.S. showing that the birth occurred in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School records, including preschool, Head Start, and day care, showing the child’s name and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Federal or state census records showing U.S. citizenship or a U.S. place of birth.</w:t>
      </w:r>
    </w:p>
    <w:p>
      <w:pPr>
        <w:spacing w:before="0" w:after="0"/>
        <w:ind w:left="120"/>
        <w:jc w:val="both"/>
      </w:pPr>
      <w:r>
        <w:rPr>
          <w:rFonts w:ascii="Times New Roman" w:hAnsi="Times New Roman"/>
          <w:b w:val="false"/>
          <w:i w:val="false"/>
          <w:color w:val="000000"/>
          <w:sz w:val="22"/>
        </w:rPr>
        <w:t xml:space="preserve">If the applicant does not have one of the documents listed in paragraph </w:t>
      </w:r>
      <w:hyperlink r:id="rId25">
        <w:r>
          <w:rPr>
            <w:rStyle w:val="Hyperlink"/>
            <w:rFonts w:ascii="Times New Roman" w:hAnsi="Times New Roman"/>
            <w:b w:val="false"/>
            <w:i w:val="false"/>
            <w:color w:val="000000"/>
            <w:sz w:val="22"/>
          </w:rPr>
          <w:t>87.2(4)</w:t>
        </w:r>
      </w:hyperlink>
      <w:r>
        <w:rPr>
          <w:rFonts w:ascii="Times New Roman" w:hAnsi="Times New Roman"/>
          <w:b w:val="false"/>
          <w:i/>
          <w:color w:val="000000"/>
          <w:sz w:val="22"/>
        </w:rPr>
        <w:t>“d”</w:t>
      </w:r>
      <w:r>
        <w:rPr>
          <w:rFonts w:ascii="Times New Roman" w:hAnsi="Times New Roman"/>
          <w:b w:val="false"/>
          <w:i w:val="false"/>
          <w:color w:val="000000"/>
          <w:sz w:val="22"/>
        </w:rPr>
        <w:t xml:space="preserve"> or subparagraphs </w:t>
      </w:r>
      <w:hyperlink r:id="rId26">
        <w:r>
          <w:rPr>
            <w:rStyle w:val="Hyperlink"/>
            <w:rFonts w:ascii="Times New Roman" w:hAnsi="Times New Roman"/>
            <w:b w:val="false"/>
            <w:i w:val="false"/>
            <w:color w:val="000000"/>
            <w:sz w:val="22"/>
          </w:rPr>
          <w:t>87.2(4)</w:t>
        </w:r>
      </w:hyperlink>
      <w:r>
        <w:rPr>
          <w:rFonts w:ascii="Times New Roman" w:hAnsi="Times New Roman"/>
          <w:b w:val="false"/>
          <w:i/>
          <w:color w:val="000000"/>
          <w:sz w:val="22"/>
        </w:rPr>
        <w:t>“e”</w:t>
      </w:r>
      <w:r>
        <w:rPr>
          <w:rFonts w:ascii="Times New Roman" w:hAnsi="Times New Roman"/>
          <w:b w:val="false"/>
          <w:i w:val="false"/>
          <w:color w:val="000000"/>
          <w:sz w:val="22"/>
        </w:rPr>
        <w:t xml:space="preserve">(1) through </w:t>
      </w:r>
      <w:r>
        <w:rPr>
          <w:rFonts w:ascii="Times New Roman" w:hAnsi="Times New Roman"/>
          <w:b w:val="false"/>
          <w:i/>
          <w:color w:val="000000"/>
          <w:sz w:val="22"/>
        </w:rPr>
        <w:t>“e”</w:t>
      </w:r>
      <w:r>
        <w:rPr>
          <w:rFonts w:ascii="Times New Roman" w:hAnsi="Times New Roman"/>
          <w:b w:val="false"/>
          <w:i w:val="false"/>
          <w:color w:val="000000"/>
          <w:sz w:val="22"/>
        </w:rPr>
        <w:t>(15), the applicant may submit an affidavit using a form prescribed by the department, signed under penalty of perjury by another individual who can reasonably attest to the applicant’s citizenship. Such affidavit must contain the applicant’s name, date of birth, and place of U.S. birth. The affidavit is not required to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of the following documents must be accepted as satisfactory documentation of identity, provided the document has a photograph or other identifying information sufficient to establish identity, including but not limited to name, age, sex, race, height, weight, eye color, or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Identity documents listed at 8 CFR §274a.2(b)(1)(v)(B)(1) as amended to March 15, 2022, except a driver’s license issued by a Canadian government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driver’s license issued by a state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school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U.S. military card or draft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by the federal, state, or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military dependent’s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U.S. Coast Guard Merchant Mariner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children under age 19, a clinic, doctor, hospital, or school record, including preschool or day care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Two other documents containing consistent information that corroborates an applicant’s identity. Such documents include but are not limited to employer identification cards; high school, high school equivalency, and college diplomas; marriage certificates; divorce decrees; and property deeds or titles.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finding of identity from a federal agency or another state agency, including but not limited to a public assistance, law enforcement, internal revenue or tax bureau, or corrections agency, if the agency has verified and certified the identity of the individual.</w:t>
      </w:r>
    </w:p>
    <w:p>
      <w:pPr>
        <w:spacing w:before="0" w:after="0"/>
        <w:ind w:left="120"/>
        <w:jc w:val="both"/>
      </w:pPr>
      <w:r>
        <w:rPr>
          <w:rFonts w:ascii="Times New Roman" w:hAnsi="Times New Roman"/>
          <w:b w:val="false"/>
          <w:i w:val="false"/>
          <w:color w:val="000000"/>
          <w:sz w:val="22"/>
        </w:rPr>
        <w:t xml:space="preserve">If the applicant does not have any document specified in subparagraphs </w:t>
      </w:r>
      <w:hyperlink r:id="rId27">
        <w:r>
          <w:rPr>
            <w:rStyle w:val="Hyperlink"/>
            <w:rFonts w:ascii="Times New Roman" w:hAnsi="Times New Roman"/>
            <w:b w:val="false"/>
            <w:i w:val="false"/>
            <w:color w:val="000000"/>
            <w:sz w:val="22"/>
          </w:rPr>
          <w:t>87.2(4)</w:t>
        </w:r>
      </w:hyperlink>
      <w:r>
        <w:rPr>
          <w:rFonts w:ascii="Times New Roman" w:hAnsi="Times New Roman"/>
          <w:b w:val="false"/>
          <w:i/>
          <w:color w:val="000000"/>
          <w:sz w:val="22"/>
        </w:rPr>
        <w:t>“f”</w:t>
      </w:r>
      <w:r>
        <w:rPr>
          <w:rFonts w:ascii="Times New Roman" w:hAnsi="Times New Roman"/>
          <w:b w:val="false"/>
          <w:i w:val="false"/>
          <w:color w:val="000000"/>
          <w:sz w:val="22"/>
        </w:rPr>
        <w:t xml:space="preserve">(1) through </w:t>
      </w:r>
      <w:r>
        <w:rPr>
          <w:rFonts w:ascii="Times New Roman" w:hAnsi="Times New Roman"/>
          <w:b w:val="false"/>
          <w:i/>
          <w:color w:val="000000"/>
          <w:sz w:val="22"/>
        </w:rPr>
        <w:t>“f”</w:t>
      </w:r>
      <w:r>
        <w:rPr>
          <w:rFonts w:ascii="Times New Roman" w:hAnsi="Times New Roman"/>
          <w:b w:val="false"/>
          <w:i w:val="false"/>
          <w:color w:val="000000"/>
          <w:sz w:val="22"/>
        </w:rPr>
        <w:t xml:space="preserve">(10), the applicant may submit an affidavit using a form prescribed by the department signed under penalty of perjury by another individual who can reasonably attest to the applicant’s identity. Such affidavit must contain the applicant’s name and other identifying information establishing identity, as described in paragraph </w:t>
      </w:r>
      <w:hyperlink r:id="rId28">
        <w:r>
          <w:rPr>
            <w:rStyle w:val="Hyperlink"/>
            <w:rFonts w:ascii="Times New Roman" w:hAnsi="Times New Roman"/>
            <w:b w:val="false"/>
            <w:i w:val="false"/>
            <w:color w:val="000000"/>
            <w:sz w:val="22"/>
          </w:rPr>
          <w:t>87.2(4)</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affidavit is not required to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authorized agency, as applicable, must accept a photocopy, facsimile, scanned, or other copy of a document listed in paragraph </w:t>
      </w:r>
      <w:hyperlink r:id="rId29">
        <w:r>
          <w:rPr>
            <w:rStyle w:val="Hyperlink"/>
            <w:rFonts w:ascii="Times New Roman" w:hAnsi="Times New Roman"/>
            <w:b w:val="false"/>
            <w:i w:val="false"/>
            <w:color w:val="000000"/>
            <w:sz w:val="22"/>
          </w:rPr>
          <w:t>87.2(4)</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to the same extent as an original document, unless information on the submitted copy is inconsistent with other information available or there is reason to question the validity of, or information in, the document. The department must provide assistance in a timely manner to persons who need assistance in securing satisfactory documentation of citizenship or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for whom an attestation of United States citizenship has been made pursuant to paragraph </w:t>
      </w:r>
      <w:hyperlink r:id="rId30">
        <w:r>
          <w:rPr>
            <w:rStyle w:val="Hyperlink"/>
            <w:rFonts w:ascii="Times New Roman" w:hAnsi="Times New Roman"/>
            <w:b w:val="false"/>
            <w:i w:val="false"/>
            <w:color w:val="000000"/>
            <w:sz w:val="22"/>
          </w:rPr>
          <w:t>87.2(4)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required to present documentation of citizenship and identity for the family planning program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entitled to or enrolled for benefits under any part of </w:t>
      </w:r>
      <w:r>
        <w:rPr>
          <w:rFonts w:ascii="Times New Roman" w:hAnsi="Times New Roman"/>
          <w:b w:val="false"/>
          <w:i w:val="false"/>
          <w:color w:val="000000"/>
          <w:sz w:val="22"/>
        </w:rPr>
        <w:t>Title XVIII of the federal Social Security Act</w:t>
      </w:r>
      <w:r>
        <w:rPr>
          <w:rFonts w:ascii="Times New Roman" w:hAnsi="Times New Roman"/>
          <w:b w:val="false"/>
          <w:i w:val="false"/>
          <w:color w:val="000000"/>
          <w:sz w:val="22"/>
        </w:rPr>
        <w:t xml:space="preserve"> (Medicare)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receiving federal social security disability insurance (SSDI) benefits under </w:t>
      </w:r>
      <w:r>
        <w:rPr>
          <w:rFonts w:ascii="Times New Roman" w:hAnsi="Times New Roman"/>
          <w:b w:val="false"/>
          <w:i w:val="false"/>
          <w:color w:val="000000"/>
          <w:sz w:val="22"/>
        </w:rPr>
        <w:t>Title II of the federal Social Security Act, Section 223</w:t>
      </w:r>
      <w:r>
        <w:rPr>
          <w:rFonts w:ascii="Times New Roman" w:hAnsi="Times New Roman"/>
          <w:b w:val="false"/>
          <w:i w:val="false"/>
          <w:color w:val="000000"/>
          <w:sz w:val="22"/>
        </w:rPr>
        <w:t xml:space="preserve"> or 202, based on disability (as defined in Section 223(d) of the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receiving supplemental security income (SSI) benefits under </w:t>
      </w:r>
      <w:r>
        <w:rPr>
          <w:rFonts w:ascii="Times New Roman" w:hAnsi="Times New Roman"/>
          <w:b w:val="false"/>
          <w:i w:val="false"/>
          <w:color w:val="000000"/>
          <w:sz w:val="22"/>
        </w:rPr>
        <w:t>Title XVI of the federal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child welfare services funded under </w:t>
      </w:r>
      <w:r>
        <w:rPr>
          <w:rFonts w:ascii="Times New Roman" w:hAnsi="Times New Roman"/>
          <w:b w:val="false"/>
          <w:i w:val="false"/>
          <w:color w:val="000000"/>
          <w:sz w:val="22"/>
        </w:rPr>
        <w:t>Part B of Title IV of the federal Social Security Act</w:t>
      </w:r>
      <w:r>
        <w:rPr>
          <w:rFonts w:ascii="Times New Roman" w:hAnsi="Times New Roman"/>
          <w:b w:val="false"/>
          <w:i w:val="false"/>
          <w:color w:val="000000"/>
          <w:sz w:val="22"/>
        </w:rPr>
        <w:t xml:space="preserve"> as amended to August 1, 2024, on the basis of being a child in foster care as defined in Iowa Code section </w:t>
      </w:r>
      <w:hyperlink r:id="rId31">
        <w:r>
          <w:rPr>
            <w:rStyle w:val="Hyperlink"/>
            <w:rFonts w:ascii="Times New Roman" w:hAnsi="Times New Roman"/>
            <w:b w:val="false"/>
            <w:i w:val="false"/>
            <w:color w:val="000000"/>
            <w:sz w:val="22"/>
          </w:rPr>
          <w:t>232.2(20B)</w:t>
        </w:r>
      </w:hyperlink>
      <w:r>
        <w:rPr>
          <w:rFonts w:ascii="Times New Roman" w:hAnsi="Times New Roman"/>
          <w:b w:val="false"/>
          <w:i w:val="false"/>
          <w:color w:val="000000"/>
          <w:sz w:val="22"/>
        </w:rPr>
        <w:t xml:space="preserve">. This exemption does not apply, and the person is subject to the citizenship and identity documentation requirements described in paragraph </w:t>
      </w:r>
      <w:hyperlink r:id="rId32">
        <w:r>
          <w:rPr>
            <w:rStyle w:val="Hyperlink"/>
            <w:rFonts w:ascii="Times New Roman" w:hAnsi="Times New Roman"/>
            <w:b w:val="false"/>
            <w:i w:val="false"/>
            <w:color w:val="000000"/>
            <w:sz w:val="22"/>
          </w:rPr>
          <w:t>87.2(4)</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services under Part B of Title IV as amended to August 1, 2024,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foster care as defined in Iowa Code section </w:t>
      </w:r>
      <w:hyperlink r:id="rId33">
        <w:r>
          <w:rPr>
            <w:rStyle w:val="Hyperlink"/>
            <w:rFonts w:ascii="Times New Roman" w:hAnsi="Times New Roman"/>
            <w:b w:val="false"/>
            <w:i w:val="false"/>
            <w:color w:val="000000"/>
            <w:sz w:val="22"/>
          </w:rPr>
          <w:t>232.2(20B)</w:t>
        </w:r>
      </w:hyperlink>
      <w:r>
        <w:rPr>
          <w:rFonts w:ascii="Times New Roman" w:hAnsi="Times New Roman"/>
          <w:b w:val="false"/>
          <w:i w:val="false"/>
          <w:color w:val="000000"/>
          <w:sz w:val="22"/>
        </w:rPr>
        <w:t xml:space="preserve"> or adoption assistance funded under </w:t>
      </w:r>
      <w:r>
        <w:rPr>
          <w:rFonts w:ascii="Times New Roman" w:hAnsi="Times New Roman"/>
          <w:b w:val="false"/>
          <w:i w:val="false"/>
          <w:color w:val="000000"/>
          <w:sz w:val="22"/>
        </w:rPr>
        <w:t>Part E of Title IV of the federal Social Security Act</w:t>
      </w:r>
      <w:r>
        <w:rPr>
          <w:rFonts w:ascii="Times New Roman" w:hAnsi="Times New Roman"/>
          <w:b w:val="false"/>
          <w:i w:val="false"/>
          <w:color w:val="000000"/>
          <w:sz w:val="22"/>
        </w:rPr>
        <w:t xml:space="preserve"> as amended to August 1, 2024. This exemption does not apply, and the person is subject to the citizenship and identity documentation requirements described in paragraph </w:t>
      </w:r>
      <w:hyperlink r:id="rId34">
        <w:r>
          <w:rPr>
            <w:rStyle w:val="Hyperlink"/>
            <w:rFonts w:ascii="Times New Roman" w:hAnsi="Times New Roman"/>
            <w:b w:val="false"/>
            <w:i w:val="false"/>
            <w:color w:val="000000"/>
            <w:sz w:val="22"/>
          </w:rPr>
          <w:t>87.2(4)</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services under Part E of Title IV as amended to August 1, 2024,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previously presented satisfactory documentation of citizenship and identity, as specified by the United States Secretary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deemed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1396a(e)(4) as amended to August 1, 2024, on or after July 1, 2006, as the newborn of a Medicaid-eligible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1397ll(e) as amended to August 1, 2024, as the newborn of a mother eligible for assistance under a State Children’s Health Insurance Program (SCHIP) pursuant to </w:t>
      </w:r>
      <w:r>
        <w:rPr>
          <w:rFonts w:ascii="Times New Roman" w:hAnsi="Times New Roman"/>
          <w:b w:val="false"/>
          <w:i w:val="false"/>
          <w:color w:val="000000"/>
          <w:sz w:val="22"/>
        </w:rPr>
        <w:t>Title XXI of the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5">
        <w:r>
          <w:rPr>
            <w:rStyle w:val="Hyperlink"/>
            <w:rFonts w:ascii="Times New Roman" w:hAnsi="Times New Roman"/>
            <w:b w:val="false"/>
            <w:i w:val="false"/>
            <w:color w:val="000000"/>
            <w:sz w:val="22"/>
          </w:rPr>
          <w:t>87.2(4)</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applicants or members for whom an attestation of qualified noncitizen status has been made pursuant to paragraph </w:t>
      </w:r>
      <w:hyperlink r:id="rId36">
        <w:r>
          <w:rPr>
            <w:rStyle w:val="Hyperlink"/>
            <w:rFonts w:ascii="Times New Roman" w:hAnsi="Times New Roman"/>
            <w:b w:val="false"/>
            <w:i w:val="false"/>
            <w:color w:val="000000"/>
            <w:sz w:val="22"/>
          </w:rPr>
          <w:t>87.2(4)</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present satisfactory documentation of qualified noncitizen status. Satisfactory documentation of qualified noncitizen status is documentation issued by the U.S. Citizenship and Immigration Services (USCIS) (formerly Immigration and Naturalization Service (INS)) of the Department of Homeland Security that identifies the person’s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87.2(5)</w:t>
      </w:r>
      <w:r>
        <w:rPr>
          <w:rFonts w:ascii="Times New Roman" w:hAnsi="Times New Roman"/>
          <w:b w:val="false"/>
          <w:i w:val="false"/>
          <w:color w:val="000000"/>
          <w:sz w:val="22"/>
        </w:rPr>
        <w:t> </w:t>
      </w:r>
      <w:r>
        <w:rPr>
          <w:rFonts w:ascii="Times New Roman" w:hAnsi="Times New Roman"/>
          <w:b w:val="false"/>
          <w:i/>
          <w:color w:val="000000"/>
          <w:sz w:val="22"/>
        </w:rPr>
        <w:t xml:space="preserve">Deeming of sponsor’s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qualified noncitizen admitted for lawful permanent residence is sponsored by a person who executed an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as amended to August 1, 2024, on behalf of the qualified noncitizen, the income of the sponsor will be deemed to determine eligibility for the sponsored qualified noncitizen. The amount deemed to the sponsored qualified noncitizen will be the total countable income of the sponsor determined pursuant to paragraphs </w:t>
      </w:r>
      <w:hyperlink r:id="rId37">
        <w:r>
          <w:rPr>
            <w:rStyle w:val="Hyperlink"/>
            <w:rFonts w:ascii="Times New Roman" w:hAnsi="Times New Roman"/>
            <w:b w:val="false"/>
            <w:i w:val="false"/>
            <w:color w:val="000000"/>
            <w:sz w:val="22"/>
          </w:rPr>
          <w:t>87.2(3)</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qualified noncitizen is exempt from the deeming of a sponsor’s income for 12 months after indigence is determined. A qualified noncitizen will be considered indigent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noncitizen’s gross income, including any income actually received from or made available by the sponsor, is less than 100 percent of the federal poverty level for the sponsored qualified noncitizen’s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qualified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as amended to August 1, 2024, is exempt from the deeming of a sponsor’s income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attains citizenship through naturalization pursuant to Chapter 2 of Title II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has earned 40 qualifying quarters of coverage as defined in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as amended to August 1, 2024, or can be credited with 40 creditable qualifying quarters as defined in rule </w:t>
      </w:r>
      <w:hyperlink r:id="rId38">
        <w:r>
          <w:rPr>
            <w:rStyle w:val="Hyperlink"/>
            <w:rFonts w:ascii="Times New Roman" w:hAnsi="Times New Roman"/>
            <w:b w:val="false"/>
            <w:i w:val="false"/>
            <w:color w:val="000000"/>
            <w:sz w:val="22"/>
          </w:rPr>
          <w:t>441—87.1</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is a child under the age of 21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87.2(6)</w:t>
      </w:r>
      <w:r>
        <w:rPr>
          <w:rFonts w:ascii="Times New Roman" w:hAnsi="Times New Roman"/>
          <w:b w:val="false"/>
          <w:i w:val="false"/>
          <w:color w:val="000000"/>
          <w:sz w:val="22"/>
        </w:rPr>
        <w:t> </w:t>
      </w:r>
      <w:r>
        <w:rPr>
          <w:rFonts w:ascii="Times New Roman" w:hAnsi="Times New Roman"/>
          <w:b w:val="false"/>
          <w:i/>
          <w:color w:val="000000"/>
          <w:sz w:val="22"/>
        </w:rPr>
        <w:t xml:space="preserve">Residency requirements. </w:t>
      </w:r>
      <w:r>
        <w:rPr>
          <w:rFonts w:ascii="Times New Roman" w:hAnsi="Times New Roman"/>
          <w:b w:val="false"/>
          <w:i w:val="false"/>
          <w:color w:val="000000"/>
          <w:sz w:val="22"/>
        </w:rPr>
        <w:t xml:space="preserve">Residency in Iowa is a condition of eligibility for the family planning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resident. </w:t>
      </w:r>
      <w:r>
        <w:rPr>
          <w:rFonts w:ascii="Times New Roman" w:hAnsi="Times New Roman"/>
          <w:b w:val="false"/>
          <w:i w:val="false"/>
          <w:color w:val="000000"/>
          <w:sz w:val="22"/>
        </w:rPr>
        <w:t>A resident of Iowa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living in Iowa voluntarily with the intention of making that person’s home there and not for a temporary purpose. A person is a resident of Iowa when living there on other than a temporary basis. Residence will not depend upon the reason for which the individual entered the state, except insofar as it may bear upon whether the individual is there voluntarily or for a temporary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Who, at the time of application, is living in Iowa, is not receiving assistance from another state, and entered Iowa with a job commitment or seeking employment in Iowa, whether or not currently employed.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Retention of residence. </w:t>
      </w:r>
      <w:r>
        <w:rPr>
          <w:rFonts w:ascii="Times New Roman" w:hAnsi="Times New Roman"/>
          <w:b w:val="false"/>
          <w:i w:val="false"/>
          <w:color w:val="000000"/>
          <w:sz w:val="22"/>
        </w:rPr>
        <w:t>Residence is retained until abandoned. Temporary absence from Iowa, with subsequent returns to Iowa, or intent to return when the purposes of the absence have been accomplished does not interrupt continuity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87.2(7)</w:t>
      </w:r>
      <w:r>
        <w:rPr>
          <w:rFonts w:ascii="Times New Roman" w:hAnsi="Times New Roman"/>
          <w:b w:val="false"/>
          <w:i w:val="false"/>
          <w:color w:val="000000"/>
          <w:sz w:val="22"/>
        </w:rPr>
        <w:t> </w:t>
      </w:r>
      <w:r>
        <w:rPr>
          <w:rFonts w:ascii="Times New Roman" w:hAnsi="Times New Roman"/>
          <w:b w:val="false"/>
          <w:i/>
          <w:color w:val="000000"/>
          <w:sz w:val="22"/>
        </w:rPr>
        <w:t xml:space="preserve">Investigation by quality control or the department of inspections, appeals, and licensing. </w:t>
      </w:r>
      <w:r>
        <w:rPr>
          <w:rFonts w:ascii="Times New Roman" w:hAnsi="Times New Roman"/>
          <w:b w:val="false"/>
          <w:i w:val="false"/>
          <w:color w:val="000000"/>
          <w:sz w:val="22"/>
        </w:rPr>
        <w:t xml:space="preserve">As a condition of eligibility, an applicant or member must cooperate with the department when the applicant’s or member’s case is selected by quality control or the department of inspections, appeals, and licensing for verification of eligibility unless the investigation revolves solely around the circumstances of a person whose income does not affect family planning program eligibility. (More information can be found in </w:t>
      </w:r>
      <w:hyperlink r:id="rId39">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will serve as a basis for denial of an application or cancellation of family planning program eligibility. Once a person’s eligibility is denied or canceled for failure to cooperate, the person may reapply but cannot be determined eligible until cooperation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87.2(8)</w:t>
      </w:r>
      <w:r>
        <w:rPr>
          <w:rFonts w:ascii="Times New Roman" w:hAnsi="Times New Roman"/>
          <w:b w:val="false"/>
          <w:i w:val="false"/>
          <w:color w:val="000000"/>
          <w:sz w:val="22"/>
        </w:rPr>
        <w:t> </w:t>
      </w:r>
      <w:r>
        <w:rPr>
          <w:rFonts w:ascii="Times New Roman" w:hAnsi="Times New Roman"/>
          <w:b w:val="false"/>
          <w:i/>
          <w:color w:val="000000"/>
          <w:sz w:val="22"/>
        </w:rPr>
        <w:t xml:space="preserve">Funding contingency. </w:t>
      </w:r>
      <w:r>
        <w:rPr>
          <w:rFonts w:ascii="Times New Roman" w:hAnsi="Times New Roman"/>
          <w:b w:val="false"/>
          <w:i w:val="false"/>
          <w:color w:val="000000"/>
          <w:sz w:val="22"/>
        </w:rPr>
        <w:t>Initial and continuing eligibility for family planning services under this program is subject to the availability of funding appropriated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appropriated funding is exhausted, ongoing eligibility will be terminated and new applications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appropriated funding becomes available, applications submitted thereafter will be considered on a first-come, first-served basis, based on the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441—87.3</w:t>
      </w:r>
      <w:r>
        <w:rPr>
          <w:rFonts w:ascii="Times New Roman" w:hAnsi="Times New Roman"/>
          <w:b/>
          <w:i w:val="false"/>
          <w:color w:val="000000"/>
          <w:sz w:val="22"/>
        </w:rPr>
        <w:t xml:space="preserve">(217) </w:t>
      </w:r>
      <w:r>
        <w:rPr>
          <w:rFonts w:ascii="Times New Roman" w:hAnsi="Times New Roman"/>
          <w:b/>
          <w:i w:val="false"/>
          <w:color w:val="000000"/>
          <w:sz w:val="22"/>
        </w:rPr>
        <w:t xml:space="preserve">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individual who requests assistance for family planning services shall file an application on a form prescribed by the department. A woman eligible under paragraph </w:t>
      </w:r>
      <w:hyperlink r:id="rId40">
        <w:r>
          <w:rPr>
            <w:rStyle w:val="Hyperlink"/>
            <w:rFonts w:ascii="Times New Roman" w:hAnsi="Times New Roman"/>
            <w:b w:val="false"/>
            <w:i w:val="false"/>
            <w:color w:val="000000"/>
            <w:sz w:val="22"/>
          </w:rPr>
          <w:t>87.2(1)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required to file an application for assistance under this program. The department will automatically redetermine eligibility upon loss of other Medicaid eligibility within 12 consecutive months plus 60 days after their pregnancy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An application may be filed at any department office or authorized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87.3(3)</w:t>
      </w:r>
      <w:r>
        <w:rPr>
          <w:rFonts w:ascii="Times New Roman" w:hAnsi="Times New Roman"/>
          <w:b w:val="false"/>
          <w:i w:val="false"/>
          <w:color w:val="000000"/>
          <w:sz w:val="22"/>
        </w:rPr>
        <w:t> </w:t>
      </w:r>
      <w:r>
        <w:rPr>
          <w:rFonts w:ascii="Times New Roman" w:hAnsi="Times New Roman"/>
          <w:b w:val="false"/>
          <w:i/>
          <w:color w:val="000000"/>
          <w:sz w:val="22"/>
        </w:rPr>
        <w:t xml:space="preserve">Information or verification needed to determine eligibility. </w:t>
      </w:r>
      <w:r>
        <w:rPr>
          <w:rFonts w:ascii="Times New Roman" w:hAnsi="Times New Roman"/>
          <w:b w:val="false"/>
          <w:i w:val="false"/>
          <w:color w:val="000000"/>
          <w:sz w:val="22"/>
        </w:rPr>
        <w:t>The department or authorized agency, as applicable, will notify the applicant or member, authorized representative, or responsible person in writing of the information or verification required to establish eligibility. This notice must be provided to the applicant or member, authorized representative, or responsible person personally or by mail or fax.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authorized agency, as applicable, will allow the applicant or member, authorized representative, or responsible person ten calendar days to supply the information or verification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authorized agency, as applicable, may extend the deadline for a reasonable period of time when the applicant or member, authorized representative, or responsible person is making reasonable efforts but is unable to secure the required information or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benefits are denied for failure to provide information or verification and the information or verification is provided within 14 calendar days of the effective date of the denial, the department or authorized agency, as applicable, will complete the eligibility determination as though the information or verification were received timely. If the fourteenth calendar day falls on a weekend or state holiday, the applicant or member, authorized representative, or responsible person will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87.3(4)</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 xml:space="preserve">An individual who requests that assistance continue for family planning services shall complete a form prescribed by the department. The member must submit the completed review form before the end of the eligibility period to any location specified in subrule </w:t>
      </w:r>
      <w:hyperlink r:id="rId41">
        <w:r>
          <w:rPr>
            <w:rStyle w:val="Hyperlink"/>
            <w:rFonts w:ascii="Times New Roman" w:hAnsi="Times New Roman"/>
            <w:b w:val="false"/>
            <w:i w:val="false"/>
            <w:color w:val="000000"/>
            <w:sz w:val="22"/>
          </w:rPr>
          <w:t>87.3(2)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87.3(5)</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 xml:space="preserve">An application or review form will be processed by the department or authorized agency with which the form was filed. A determination of eligibility will be made within 45 days of receipt of the application or review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87.3(6)</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The individual will be notified in writing of the decision regarding eligibility for the family planning program in accordance with </w:t>
      </w:r>
      <w:hyperlink r:id="rId4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441—87.4</w:t>
      </w:r>
      <w:r>
        <w:rPr>
          <w:rFonts w:ascii="Times New Roman" w:hAnsi="Times New Roman"/>
          <w:b/>
          <w:i w:val="false"/>
          <w:color w:val="000000"/>
          <w:sz w:val="22"/>
        </w:rPr>
        <w:t xml:space="preserve">(217) </w:t>
      </w:r>
      <w:r>
        <w:rPr>
          <w:rFonts w:ascii="Times New Roman" w:hAnsi="Times New Roman"/>
          <w:b/>
          <w:i w:val="false"/>
          <w:color w:val="000000"/>
          <w:sz w:val="22"/>
        </w:rPr>
        <w:t xml:space="preserve">Effective date of eligibility. </w:t>
      </w:r>
      <w:r>
        <w:rPr>
          <w:rFonts w:ascii="Times New Roman" w:hAnsi="Times New Roman"/>
          <w:b w:val="false"/>
          <w:i w:val="false"/>
          <w:color w:val="000000"/>
          <w:sz w:val="22"/>
        </w:rPr>
        <w:t>Subject to the availability of funding appropriated for this purpose, assistance for family planning services under this program will be effective on the first day of the month of application or the first day of the month in which all eligibility requirements are met, whichever is later. Assistance will not be available under this program for any months prior to the month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441—87.5</w:t>
      </w:r>
      <w:r>
        <w:rPr>
          <w:rFonts w:ascii="Times New Roman" w:hAnsi="Times New Roman"/>
          <w:b/>
          <w:i w:val="false"/>
          <w:color w:val="000000"/>
          <w:sz w:val="22"/>
        </w:rPr>
        <w:t xml:space="preserve">(217) </w:t>
      </w:r>
      <w:r>
        <w:rPr>
          <w:rFonts w:ascii="Times New Roman" w:hAnsi="Times New Roman"/>
          <w:b/>
          <w:i w:val="false"/>
          <w:color w:val="000000"/>
          <w:sz w:val="22"/>
        </w:rPr>
        <w:t xml:space="preserve">Period of eligibility. </w:t>
      </w:r>
      <w:r>
        <w:rPr>
          <w:rFonts w:ascii="Times New Roman" w:hAnsi="Times New Roman"/>
          <w:b w:val="false"/>
          <w:i w:val="false"/>
          <w:color w:val="000000"/>
          <w:sz w:val="22"/>
        </w:rPr>
        <w:t>Eligibility for family planning services under this program will be limited to a period of 12 months from the effective date of eligibility, or the duration of appropriated funding, whichever is less. A new application or annual redetermination of eligibility is required for benefits to continue beyond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441—87.6</w:t>
      </w:r>
      <w:r>
        <w:rPr>
          <w:rFonts w:ascii="Times New Roman" w:hAnsi="Times New Roman"/>
          <w:b/>
          <w:i w:val="false"/>
          <w:color w:val="000000"/>
          <w:sz w:val="22"/>
        </w:rPr>
        <w:t xml:space="preserve">(217) </w:t>
      </w:r>
      <w:r>
        <w:rPr>
          <w:rFonts w:ascii="Times New Roman" w:hAnsi="Times New Roman"/>
          <w:b/>
          <w:i w:val="false"/>
          <w:color w:val="000000"/>
          <w:sz w:val="22"/>
        </w:rPr>
        <w:t xml:space="preserve">Reporting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87.6(1)</w:t>
      </w:r>
      <w:r>
        <w:rPr>
          <w:rFonts w:ascii="Times New Roman" w:hAnsi="Times New Roman"/>
          <w:b w:val="false"/>
          <w:i w:val="false"/>
          <w:color w:val="000000"/>
          <w:sz w:val="22"/>
        </w:rPr>
        <w:t> </w:t>
      </w:r>
      <w:r>
        <w:rPr>
          <w:rFonts w:ascii="Times New Roman" w:hAnsi="Times New Roman"/>
          <w:b w:val="false"/>
          <w:i/>
          <w:color w:val="000000"/>
          <w:sz w:val="22"/>
        </w:rPr>
        <w:t xml:space="preserve">Required changes to report. </w:t>
      </w:r>
      <w:r>
        <w:rPr>
          <w:rFonts w:ascii="Times New Roman" w:hAnsi="Times New Roman"/>
          <w:b w:val="false"/>
          <w:i w:val="false"/>
          <w:color w:val="000000"/>
          <w:sz w:val="22"/>
        </w:rPr>
        <w:t>An individual applying for or receiving family planning services under this program shall report the following changes within ten days from the date the change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in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longer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woman becomes pregnant;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longer capable of bearing or fathering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Becomes Medicaid or Iowa health and wellness plan eligible, except women meeting criteria in paragraph </w:t>
      </w:r>
      <w:hyperlink r:id="rId43">
        <w:r>
          <w:rPr>
            <w:rStyle w:val="Hyperlink"/>
            <w:rFonts w:ascii="Times New Roman" w:hAnsi="Times New Roman"/>
            <w:b w:val="false"/>
            <w:i w:val="false"/>
            <w:color w:val="000000"/>
            <w:sz w:val="22"/>
          </w:rPr>
          <w:t>87.2(1)</w:t>
        </w:r>
      </w:hyperlink>
      <w:r>
        <w:rPr>
          <w:rFonts w:ascii="Times New Roman" w:hAnsi="Times New Roman"/>
          <w:b w:val="false"/>
          <w:i/>
          <w:color w:val="000000"/>
          <w:sz w:val="22"/>
        </w:rPr>
        <w:t>“a”</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Turns 55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87.6(2)</w:t>
      </w:r>
      <w:r>
        <w:rPr>
          <w:rFonts w:ascii="Times New Roman" w:hAnsi="Times New Roman"/>
          <w:b w:val="false"/>
          <w:i w:val="false"/>
          <w:color w:val="000000"/>
          <w:sz w:val="22"/>
        </w:rPr>
        <w:t> </w:t>
      </w:r>
      <w:r>
        <w:rPr>
          <w:rFonts w:ascii="Times New Roman" w:hAnsi="Times New Roman"/>
          <w:b w:val="false"/>
          <w:i/>
          <w:color w:val="000000"/>
          <w:sz w:val="22"/>
        </w:rPr>
        <w:t xml:space="preserve">Disregard of changes. </w:t>
      </w:r>
      <w:r>
        <w:rPr>
          <w:rFonts w:ascii="Times New Roman" w:hAnsi="Times New Roman"/>
          <w:b w:val="false"/>
          <w:i w:val="false"/>
          <w:color w:val="000000"/>
          <w:sz w:val="22"/>
        </w:rPr>
        <w:t>An individual found to be eligible upon application or annual redetermination of eligibility will remain eligible for 12 months or the duration of appropriated funding, whichever is less, regardless of any change in income or household size.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441—87.7</w:t>
      </w:r>
      <w:r>
        <w:rPr>
          <w:rFonts w:ascii="Times New Roman" w:hAnsi="Times New Roman"/>
          <w:b/>
          <w:i w:val="false"/>
          <w:color w:val="000000"/>
          <w:sz w:val="22"/>
        </w:rPr>
        <w:t xml:space="preserve">(217) </w:t>
      </w:r>
      <w:r>
        <w:rPr>
          <w:rFonts w:ascii="Times New Roman" w:hAnsi="Times New Roman"/>
          <w:b/>
          <w:i w:val="false"/>
          <w:color w:val="000000"/>
          <w:sz w:val="22"/>
        </w:rPr>
        <w:t xml:space="preserve">Funding of family planning services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87.7(1)</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funds. </w:t>
      </w:r>
      <w:r>
        <w:rPr>
          <w:rFonts w:ascii="Times New Roman" w:hAnsi="Times New Roman"/>
          <w:b w:val="false"/>
          <w:i w:val="false"/>
          <w:color w:val="000000"/>
          <w:sz w:val="22"/>
        </w:rPr>
        <w:t xml:space="preserve">Distribution of family planning services program funds shall be made to eligible, approved, and participating family planning providers subject to rule </w:t>
      </w:r>
      <w:hyperlink r:id="rId44">
        <w:r>
          <w:rPr>
            <w:rStyle w:val="Hyperlink"/>
            <w:rFonts w:ascii="Times New Roman" w:hAnsi="Times New Roman"/>
            <w:b w:val="false"/>
            <w:i w:val="false"/>
            <w:color w:val="000000"/>
            <w:sz w:val="22"/>
          </w:rPr>
          <w:t>441—87.11</w:t>
        </w:r>
      </w:hyperlink>
      <w:r>
        <w:rPr>
          <w:rFonts w:ascii="Times New Roman" w:hAnsi="Times New Roman"/>
          <w:b w:val="false"/>
          <w:i w:val="false"/>
          <w:color w:val="000000"/>
          <w:sz w:val="22"/>
        </w:rPr>
        <w:t>(217). Eligible family planning providers shall not include any provider that performs abortions or that maintains or operates a facility where abortions are performed and must attest to this fact. Effective July 1, 2018, eligible family planning providers shall be interpreted to include a distinct location of a nonprofit health care delivery system, if the distinct location provides family planning services but does not perform abortions or maintain or operate as a facility where abortions are performed. For the purposes of this subrule, “nonprofit health care delivery system” means an Iowa nonprofit corporation that controls, directly or indirectly, a regional health care network consisting of hospital facilities and various ambulatory and clinic locations that provide a range of primary, secondary, and tertiary inpatient, outpatient, and physician services. For the purposes of this subrule, “abortion”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treatment of a woman for a physical disorder, physical injury, or physical illness, including a life-endangering physical condition caused by or arising from the pregnancy itself, that would, as certified by a physician, place the woman in danger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of a woman for a spontaneous abortion, commonly known as a miscarriage, when not all of the products of human conception are expelled.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87.7(2)</w:t>
      </w: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The department will recover from a member all funds incorrectly expended to or on behalf of the member for family planning program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441—87.8</w:t>
      </w:r>
      <w:r>
        <w:rPr>
          <w:rFonts w:ascii="Times New Roman" w:hAnsi="Times New Roman"/>
          <w:b/>
          <w:i w:val="false"/>
          <w:color w:val="000000"/>
          <w:sz w:val="22"/>
        </w:rPr>
        <w:t xml:space="preserve">(217) </w:t>
      </w:r>
      <w:r>
        <w:rPr>
          <w:rFonts w:ascii="Times New Roman" w:hAnsi="Times New Roman"/>
          <w:b/>
          <w:i w:val="false"/>
          <w:color w:val="000000"/>
          <w:sz w:val="22"/>
        </w:rPr>
        <w:t xml:space="preserve">Availability of services. </w:t>
      </w:r>
      <w:r>
        <w:rPr>
          <w:rFonts w:ascii="Times New Roman" w:hAnsi="Times New Roman"/>
          <w:b w:val="false"/>
          <w:i w:val="false"/>
          <w:color w:val="000000"/>
          <w:sz w:val="22"/>
        </w:rPr>
        <w:t>Family planning services are payable for an individual enrolled in this program only when care is received at or authorized by a participating family planning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87.8(1)</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is a covered service subject to the limitations in </w:t>
      </w:r>
      <w:hyperlink r:id="rId45">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87.8(2)</w:t>
      </w:r>
      <w:r>
        <w:rPr>
          <w:rFonts w:ascii="Times New Roman" w:hAnsi="Times New Roman"/>
          <w:b w:val="false"/>
          <w:i w:val="false"/>
          <w:color w:val="000000"/>
          <w:sz w:val="22"/>
        </w:rPr>
        <w:t> </w:t>
      </w:r>
      <w:r>
        <w:rPr>
          <w:rFonts w:ascii="Times New Roman" w:hAnsi="Times New Roman"/>
          <w:b w:val="false"/>
          <w:i w:val="false"/>
          <w:color w:val="000000"/>
          <w:sz w:val="22"/>
        </w:rPr>
        <w:t>Covered services cannot include abortion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441—87.9</w:t>
      </w:r>
      <w:r>
        <w:rPr>
          <w:rFonts w:ascii="Times New Roman" w:hAnsi="Times New Roman"/>
          <w:b/>
          <w:i w:val="false"/>
          <w:color w:val="000000"/>
          <w:sz w:val="22"/>
        </w:rPr>
        <w:t xml:space="preserve">(217) </w:t>
      </w:r>
      <w:r>
        <w:rPr>
          <w:rFonts w:ascii="Times New Roman" w:hAnsi="Times New Roman"/>
          <w:b/>
          <w:i w:val="false"/>
          <w:color w:val="000000"/>
          <w:sz w:val="22"/>
        </w:rPr>
        <w:t xml:space="preserve">Payment of covered services. </w:t>
      </w:r>
      <w:r>
        <w:rPr>
          <w:rFonts w:ascii="Times New Roman" w:hAnsi="Times New Roman"/>
          <w:b w:val="false"/>
          <w:i w:val="false"/>
          <w:color w:val="000000"/>
          <w:sz w:val="22"/>
        </w:rPr>
        <w:t xml:space="preserve">Payment for family planning services covered under this chapter, including services authorized but not provided by a participating family planning provider, can be made only to participating family planning providers on a fee schedule determined by the department. Family planning services program funds distributed in accordance with this rule will not be used for direct or indirect costs, including but not limited to administrative costs or expenses, overhead, employee salaries, rent, and telephone and other utility costs, related to providing abortions as specified in subrule </w:t>
      </w:r>
      <w:hyperlink r:id="rId46">
        <w:r>
          <w:rPr>
            <w:rStyle w:val="Hyperlink"/>
            <w:rFonts w:ascii="Times New Roman" w:hAnsi="Times New Roman"/>
            <w:b w:val="false"/>
            <w:i w:val="false"/>
            <w:color w:val="000000"/>
            <w:sz w:val="22"/>
          </w:rPr>
          <w:t>87.7(1)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87.9(1)</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The fee schedule will include the amount of payment for each service and any limits on the service (e.g., a routine Pap smear is payable once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87.9(2)</w:t>
      </w:r>
      <w:r>
        <w:rPr>
          <w:rFonts w:ascii="Times New Roman" w:hAnsi="Times New Roman"/>
          <w:b w:val="false"/>
          <w:i w:val="false"/>
          <w:color w:val="000000"/>
          <w:sz w:val="22"/>
        </w:rPr>
        <w:t> </w:t>
      </w:r>
      <w:r>
        <w:rPr>
          <w:rFonts w:ascii="Times New Roman" w:hAnsi="Times New Roman"/>
          <w:b w:val="false"/>
          <w:i/>
          <w:color w:val="000000"/>
          <w:sz w:val="22"/>
        </w:rPr>
        <w:t xml:space="preserve">Third-party payments. </w:t>
      </w:r>
      <w:r>
        <w:rPr>
          <w:rFonts w:ascii="Times New Roman" w:hAnsi="Times New Roman"/>
          <w:b w:val="false"/>
          <w:i w:val="false"/>
          <w:color w:val="000000"/>
          <w:sz w:val="22"/>
        </w:rPr>
        <w:t>This program is the payer of last resort for services covered in this chapter. Any third-party payment received by the family planning agency or other provider of services plus any payments under this program cannot exceed the fee schedule allowance.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87.9(3)</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Payment made under this program is to be considered payment in full.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441—87.10</w:t>
      </w:r>
      <w:r>
        <w:rPr>
          <w:rFonts w:ascii="Times New Roman" w:hAnsi="Times New Roman"/>
          <w:b/>
          <w:i w:val="false"/>
          <w:color w:val="000000"/>
          <w:sz w:val="22"/>
        </w:rPr>
        <w:t xml:space="preserve">(217) </w:t>
      </w:r>
      <w:r>
        <w:rPr>
          <w:rFonts w:ascii="Times New Roman" w:hAnsi="Times New Roman"/>
          <w:b/>
          <w:i w:val="false"/>
          <w:color w:val="000000"/>
          <w:sz w:val="22"/>
        </w:rPr>
        <w:t xml:space="preserve">Submission of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87.10(1)</w:t>
      </w:r>
      <w:r>
        <w:rPr>
          <w:rFonts w:ascii="Times New Roman" w:hAnsi="Times New Roman"/>
          <w:b w:val="false"/>
          <w:i w:val="false"/>
          <w:color w:val="000000"/>
          <w:sz w:val="22"/>
        </w:rPr>
        <w:t> </w:t>
      </w:r>
      <w:r>
        <w:rPr>
          <w:rFonts w:ascii="Times New Roman" w:hAnsi="Times New Roman"/>
          <w:b w:val="false"/>
          <w:i w:val="false"/>
          <w:color w:val="000000"/>
          <w:sz w:val="22"/>
        </w:rPr>
        <w:t>Family planning providers that participate in the program can submit claims to Iowa Medicaid for services rendered no later than 45 days from the last day of the month in which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87.10(2)</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a successful review of the claim, Iowa Medicaid will make payments to the family planning provider subject to the availability of funding and the allocation of available funds under subrule </w:t>
      </w:r>
      <w:hyperlink r:id="rId47">
        <w:r>
          <w:rPr>
            <w:rStyle w:val="Hyperlink"/>
            <w:rFonts w:ascii="Times New Roman" w:hAnsi="Times New Roman"/>
            <w:b w:val="false"/>
            <w:i w:val="false"/>
            <w:color w:val="000000"/>
            <w:sz w:val="22"/>
          </w:rPr>
          <w:t>87.7(1)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441—87.11</w:t>
      </w:r>
      <w:r>
        <w:rPr>
          <w:rFonts w:ascii="Times New Roman" w:hAnsi="Times New Roman"/>
          <w:b/>
          <w:i w:val="false"/>
          <w:color w:val="000000"/>
          <w:sz w:val="22"/>
        </w:rPr>
        <w:t xml:space="preserve">(217) </w:t>
      </w:r>
      <w:r>
        <w:rPr>
          <w:rFonts w:ascii="Times New Roman" w:hAnsi="Times New Roman"/>
          <w:b/>
          <w:i w:val="false"/>
          <w:color w:val="000000"/>
          <w:sz w:val="22"/>
        </w:rPr>
        <w:t xml:space="preserve">Providers eligible to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87.11(1)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must be enrolled with the Iowa Medicaid program, subject to </w:t>
      </w:r>
      <w:hyperlink r:id="rId48">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and otherwise qualified to provide family planning services under Medicaid, subject to the limitations related to abortions, as specified above under subrule </w:t>
      </w:r>
      <w:hyperlink r:id="rId49">
        <w:r>
          <w:rPr>
            <w:rStyle w:val="Hyperlink"/>
            <w:rFonts w:ascii="Times New Roman" w:hAnsi="Times New Roman"/>
            <w:b w:val="false"/>
            <w:i w:val="false"/>
            <w:color w:val="000000"/>
            <w:sz w:val="22"/>
          </w:rPr>
          <w:t>87.7(1)</w:t>
        </w:r>
      </w:hyperlink>
      <w:r>
        <w:rPr>
          <w:rFonts w:ascii="Times New Roman" w:hAnsi="Times New Roman"/>
          <w:b w:val="false"/>
          <w:i w:val="false"/>
          <w:color w:val="000000"/>
          <w:sz w:val="22"/>
        </w:rPr>
        <w:t xml:space="preserve">. Effective July 1, 2018, as a condition of eligibility as a provider under the family planning services program, each distinct location of a nonprofit health care delivery system will enroll in the program as a separate provider, be assigned a distinct provider identification number, and complete an attestation that abortions are not performed at the distinct location. For the purposes of this subrule, “nonprofit health care delivery system” has the same meaning as provided under subrule </w:t>
      </w:r>
      <w:hyperlink r:id="rId50">
        <w:r>
          <w:rPr>
            <w:rStyle w:val="Hyperlink"/>
            <w:rFonts w:ascii="Times New Roman" w:hAnsi="Times New Roman"/>
            <w:b w:val="false"/>
            <w:i w:val="false"/>
            <w:color w:val="000000"/>
            <w:sz w:val="22"/>
          </w:rPr>
          <w:t>87.7(1)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87.11(2)</w:t>
      </w:r>
      <w:r>
        <w:rPr>
          <w:rFonts w:ascii="Times New Roman" w:hAnsi="Times New Roman"/>
          <w:b w:val="false"/>
          <w:i w:val="false"/>
          <w:color w:val="000000"/>
          <w:sz w:val="22"/>
        </w:rPr>
        <w:t> </w:t>
      </w:r>
      <w:r>
        <w:rPr>
          <w:rFonts w:ascii="Times New Roman" w:hAnsi="Times New Roman"/>
          <w:b w:val="false"/>
          <w:i w:val="false"/>
          <w:color w:val="000000"/>
          <w:sz w:val="22"/>
        </w:rPr>
        <w:t>Process for enrollment. Providers wishing to enroll under the state family planning program must complete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complete enrollment with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Must complete a form prescribed by the department regarding nonprovision of abortions, pursuant to requirements referenced above under subrule </w:t>
      </w:r>
      <w:hyperlink r:id="rId51">
        <w:r>
          <w:rPr>
            <w:rStyle w:val="Hyperlink"/>
            <w:rFonts w:ascii="Times New Roman" w:hAnsi="Times New Roman"/>
            <w:b w:val="false"/>
            <w:i w:val="false"/>
            <w:color w:val="000000"/>
            <w:sz w:val="22"/>
          </w:rPr>
          <w:t>87.7(1)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Forms must be sent to the department at P.O. Box 36450, Des Moines, Iowa 50315.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9819C</w:t>
      </w:r>
      <w:r>
        <w:rPr>
          <w:rFonts w:ascii="Times New Roman" w:hAnsi="Times New Roman"/>
          <w:b w:val="false"/>
          <w:i w:val="false"/>
          <w:color w:val="000000"/>
          <w:sz w:val="16"/>
        </w:rPr>
        <w:t>, IAB 12/10/25,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2">
        <w:r>
          <w:rPr>
            <w:rStyle w:val="Hyperlink"/>
            <w:rFonts w:ascii="Times New Roman" w:hAnsi="Times New Roman"/>
            <w:b w:val="false"/>
            <w:i w:val="false"/>
            <w:color w:val="000000"/>
            <w:sz w:val="22"/>
          </w:rPr>
          <w:t>217.41B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3199C, IAB 7/19/17, effective 7/1/17]</w:t>
      </w:r>
    </w:p>
    <w:p>
      <w:pPr>
        <w:spacing w:before="0" w:after="0"/>
        <w:ind w:left="120"/>
        <w:jc w:val="center"/>
      </w:pPr>
      <w:r>
        <w:rPr>
          <w:rFonts w:ascii="Times New Roman" w:hAnsi="Times New Roman"/>
          <w:b w:val="false"/>
          <w:i w:val="false"/>
          <w:color w:val="000000"/>
          <w:sz w:val="21"/>
        </w:rPr>
        <w:t>[Filed ARC 3389C</w:t>
      </w:r>
      <w:r>
        <w:rPr>
          <w:rFonts w:ascii="Times New Roman" w:hAnsi="Times New Roman"/>
          <w:b w:val="false"/>
          <w:i w:val="false"/>
          <w:color w:val="000000"/>
          <w:sz w:val="21"/>
        </w:rPr>
        <w:t xml:space="preserve"> (Notice ARC 3198C,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4069C</w:t>
      </w:r>
      <w:r>
        <w:rPr>
          <w:rFonts w:ascii="Times New Roman" w:hAnsi="Times New Roman"/>
          <w:b w:val="false"/>
          <w:i w:val="false"/>
          <w:color w:val="000000"/>
          <w:sz w:val="21"/>
        </w:rPr>
        <w:t xml:space="preserve"> (Notice ARC 3910C, IAB 8/1/18)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6853C</w:t>
      </w:r>
      <w:r>
        <w:rPr>
          <w:rFonts w:ascii="Times New Roman" w:hAnsi="Times New Roman"/>
          <w:b w:val="false"/>
          <w:i w:val="false"/>
          <w:color w:val="000000"/>
          <w:sz w:val="21"/>
        </w:rPr>
        <w:t xml:space="preserve"> (Notice ARC 6642C, IAB 11/16/22)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9819C</w:t>
      </w:r>
      <w:r>
        <w:rPr>
          <w:rFonts w:ascii="Times New Roman" w:hAnsi="Times New Roman"/>
          <w:b w:val="false"/>
          <w:i w:val="false"/>
          <w:color w:val="000000"/>
          <w:sz w:val="21"/>
        </w:rPr>
        <w:t xml:space="preserve"> (Amended Notice ARC 9466C, IAB 8/6/25; </w:t>
      </w:r>
      <w:r>
        <w:rPr>
          <w:rFonts w:ascii="Times New Roman" w:hAnsi="Times New Roman"/>
          <w:b w:val="false"/>
          <w:i w:val="false"/>
          <w:color w:val="000000"/>
          <w:sz w:val="21"/>
        </w:rPr>
        <w:t>Notice ARC 8711C, IAB 1/8/25)</w:t>
      </w:r>
      <w:r>
        <w:rPr>
          <w:rFonts w:ascii="Times New Roman" w:hAnsi="Times New Roman"/>
          <w:b w:val="false"/>
          <w:i w:val="false"/>
          <w:color w:val="000000"/>
          <w:sz w:val="21"/>
        </w:rPr>
        <w:t>, IAB 12/10/25, effective 2/1/26]</w:t>
      </w:r>
    </w:p>
    <w:sectPr>
      <w:footerReference r:id="rId5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87.7.pdf" Type="http://schemas.openxmlformats.org/officeDocument/2006/relationships/hyperlink" Id="rId5"/>
    <Relationship TargetMode="External" Target="https://www.legis.iowa.gov/docs/iac/rule/441.87.2.pdf" Type="http://schemas.openxmlformats.org/officeDocument/2006/relationships/hyperlink" Id="rId6"/>
    <Relationship TargetMode="External" Target="https://www.legis.iowa.gov/docs/iac/rule/441.87.2.pdf" Type="http://schemas.openxmlformats.org/officeDocument/2006/relationships/hyperlink" Id="rId7"/>
    <Relationship TargetMode="External" Target="https://www.legis.iowa.gov/docs/iac/rule/441.87.2.pdf" Type="http://schemas.openxmlformats.org/officeDocument/2006/relationships/hyperlink" Id="rId8"/>
    <Relationship TargetMode="External" Target="https://www.legis.iowa.gov/docs/iac/chapter/441.74.pdf" Type="http://schemas.openxmlformats.org/officeDocument/2006/relationships/hyperlink" Id="rId9"/>
    <Relationship TargetMode="External" Target="https://www.legis.iowa.gov/docs/iac/chapter/441.75.pdf" Type="http://schemas.openxmlformats.org/officeDocument/2006/relationships/hyperlink" Id="rId10"/>
    <Relationship TargetMode="External" Target="https://www.legis.iowa.gov/docs/iac/rule/441.87.2.pdf" Type="http://schemas.openxmlformats.org/officeDocument/2006/relationships/hyperlink" Id="rId11"/>
    <Relationship TargetMode="External" Target="https://www.legis.iowa.gov/docs/iac/rule/441.87.2.pdf" Type="http://schemas.openxmlformats.org/officeDocument/2006/relationships/hyperlink" Id="rId12"/>
    <Relationship TargetMode="External" Target="https://www.legis.iowa.gov/docs/iac/rule/441.87.2.pdf" Type="http://schemas.openxmlformats.org/officeDocument/2006/relationships/hyperlink" Id="rId13"/>
    <Relationship TargetMode="External" Target="https://www.legis.iowa.gov/docs/iac/rule/441.87.2.pdf" Type="http://schemas.openxmlformats.org/officeDocument/2006/relationships/hyperlink" Id="rId14"/>
    <Relationship TargetMode="External" Target="https://www.legis.iowa.gov/docs/iac/rule/441.87.2.pdf" Type="http://schemas.openxmlformats.org/officeDocument/2006/relationships/hyperlink" Id="rId15"/>
    <Relationship TargetMode="External" Target="https://www.legis.iowa.gov/docs/iac/rule/441.87.2.pdf" Type="http://schemas.openxmlformats.org/officeDocument/2006/relationships/hyperlink" Id="rId16"/>
    <Relationship TargetMode="External" Target="https://www.legis.iowa.gov/docs/iac/rule/441.87.2.pdf" Type="http://schemas.openxmlformats.org/officeDocument/2006/relationships/hyperlink" Id="rId17"/>
    <Relationship TargetMode="External" Target="https://www.legis.iowa.gov/docs/iac/rule/441.87.2.pdf" Type="http://schemas.openxmlformats.org/officeDocument/2006/relationships/hyperlink" Id="rId18"/>
    <Relationship TargetMode="External" Target="https://www.legis.iowa.gov/docs/iac/rule/441.87.1.pdf" Type="http://schemas.openxmlformats.org/officeDocument/2006/relationships/hyperlink" Id="rId19"/>
    <Relationship TargetMode="External" Target="https://www.legis.iowa.gov/docs/iac/rule/441.87.2.pdf" Type="http://schemas.openxmlformats.org/officeDocument/2006/relationships/hyperlink" Id="rId20"/>
    <Relationship TargetMode="External" Target="https://www.legis.iowa.gov/docs/iac/rule/441.87.2.pdf" Type="http://schemas.openxmlformats.org/officeDocument/2006/relationships/hyperlink" Id="rId21"/>
    <Relationship TargetMode="External" Target="https://www.legis.iowa.gov/docs/iac/rule/441.87.2.pdf" Type="http://schemas.openxmlformats.org/officeDocument/2006/relationships/hyperlink" Id="rId22"/>
    <Relationship TargetMode="External" Target="https://www.legis.iowa.gov/docs/iac/rule/441.87.2.pdf" Type="http://schemas.openxmlformats.org/officeDocument/2006/relationships/hyperlink" Id="rId23"/>
    <Relationship TargetMode="External" Target="https://www.legis.iowa.gov/docs/iac/rule/441.87.2.pdf" Type="http://schemas.openxmlformats.org/officeDocument/2006/relationships/hyperlink" Id="rId24"/>
    <Relationship TargetMode="External" Target="https://www.legis.iowa.gov/docs/iac/rule/441.87.2.pdf" Type="http://schemas.openxmlformats.org/officeDocument/2006/relationships/hyperlink" Id="rId25"/>
    <Relationship TargetMode="External" Target="https://www.legis.iowa.gov/docs/iac/rule/441.87.2.pdf" Type="http://schemas.openxmlformats.org/officeDocument/2006/relationships/hyperlink" Id="rId26"/>
    <Relationship TargetMode="External" Target="https://www.legis.iowa.gov/docs/iac/rule/441.87.2.pdf" Type="http://schemas.openxmlformats.org/officeDocument/2006/relationships/hyperlink" Id="rId27"/>
    <Relationship TargetMode="External" Target="https://www.legis.iowa.gov/docs/iac/rule/441.87.2.pdf" Type="http://schemas.openxmlformats.org/officeDocument/2006/relationships/hyperlink" Id="rId28"/>
    <Relationship TargetMode="External" Target="https://www.legis.iowa.gov/docs/iac/rule/441.87.2.pdf" Type="http://schemas.openxmlformats.org/officeDocument/2006/relationships/hyperlink" Id="rId29"/>
    <Relationship TargetMode="External" Target="https://www.legis.iowa.gov/docs/iac/rule/441.87.2.pdf" Type="http://schemas.openxmlformats.org/officeDocument/2006/relationships/hyperlink" Id="rId30"/>
    <Relationship TargetMode="External" Target="https://www.legis.iowa.gov/docs/ico/chapter/232.2.pdf" Type="http://schemas.openxmlformats.org/officeDocument/2006/relationships/hyperlink" Id="rId31"/>
    <Relationship TargetMode="External" Target="https://www.legis.iowa.gov/docs/iac/rule/441.87.2.pdf" Type="http://schemas.openxmlformats.org/officeDocument/2006/relationships/hyperlink" Id="rId32"/>
    <Relationship TargetMode="External" Target="https://www.legis.iowa.gov/docs/ico/chapter/232.2.pdf" Type="http://schemas.openxmlformats.org/officeDocument/2006/relationships/hyperlink" Id="rId33"/>
    <Relationship TargetMode="External" Target="https://www.legis.iowa.gov/docs/iac/rule/441.87.2.pdf" Type="http://schemas.openxmlformats.org/officeDocument/2006/relationships/hyperlink" Id="rId34"/>
    <Relationship TargetMode="External" Target="https://www.legis.iowa.gov/docs/iac/rule/441.87.2.pdf" Type="http://schemas.openxmlformats.org/officeDocument/2006/relationships/hyperlink" Id="rId35"/>
    <Relationship TargetMode="External" Target="https://www.legis.iowa.gov/docs/iac/rule/441.87.2.pdf" Type="http://schemas.openxmlformats.org/officeDocument/2006/relationships/hyperlink" Id="rId36"/>
    <Relationship TargetMode="External" Target="https://www.legis.iowa.gov/docs/iac/rule/441.87.2.pdf" Type="http://schemas.openxmlformats.org/officeDocument/2006/relationships/hyperlink" Id="rId37"/>
    <Relationship TargetMode="External" Target="https://www.legis.iowa.gov/docs/iac/rule/441.87.1.pdf" Type="http://schemas.openxmlformats.org/officeDocument/2006/relationships/hyperlink" Id="rId38"/>
    <Relationship TargetMode="External" Target="https://www.legis.iowa.gov/docs/iac/chapter/481.72.pdf" Type="http://schemas.openxmlformats.org/officeDocument/2006/relationships/hyperlink" Id="rId39"/>
    <Relationship TargetMode="External" Target="https://www.legis.iowa.gov/docs/iac/rule/441.87.2.pdf" Type="http://schemas.openxmlformats.org/officeDocument/2006/relationships/hyperlink" Id="rId40"/>
    <Relationship TargetMode="External" Target="https://www.legis.iowa.gov/docs/iac/rule/441.87.3.pdf" Type="http://schemas.openxmlformats.org/officeDocument/2006/relationships/hyperlink" Id="rId41"/>
    <Relationship TargetMode="External" Target="https://www.legis.iowa.gov/docs/iac/chapter/441.16.pdf" Type="http://schemas.openxmlformats.org/officeDocument/2006/relationships/hyperlink" Id="rId42"/>
    <Relationship TargetMode="External" Target="https://www.legis.iowa.gov/docs/iac/rule/441.87.2.pdf" Type="http://schemas.openxmlformats.org/officeDocument/2006/relationships/hyperlink" Id="rId43"/>
    <Relationship TargetMode="External" Target="https://www.legis.iowa.gov/docs/iac/rule/441.87.11.pdf" Type="http://schemas.openxmlformats.org/officeDocument/2006/relationships/hyperlink" Id="rId44"/>
    <Relationship TargetMode="External" Target="https://www.legis.iowa.gov/docs/iac/chapter/441.78.pdf" Type="http://schemas.openxmlformats.org/officeDocument/2006/relationships/hyperlink" Id="rId45"/>
    <Relationship TargetMode="External" Target="https://www.legis.iowa.gov/docs/iac/rule/441.87.7.pdf" Type="http://schemas.openxmlformats.org/officeDocument/2006/relationships/hyperlink" Id="rId46"/>
    <Relationship TargetMode="External" Target="https://www.legis.iowa.gov/docs/iac/rule/441.87.7.pdf" Type="http://schemas.openxmlformats.org/officeDocument/2006/relationships/hyperlink" Id="rId47"/>
    <Relationship TargetMode="External" Target="https://www.legis.iowa.gov/docs/iac/chapter/441.79.pdf" Type="http://schemas.openxmlformats.org/officeDocument/2006/relationships/hyperlink" Id="rId48"/>
    <Relationship TargetMode="External" Target="https://www.legis.iowa.gov/docs/iac/rule/441.87.7.pdf" Type="http://schemas.openxmlformats.org/officeDocument/2006/relationships/hyperlink" Id="rId49"/>
    <Relationship TargetMode="External" Target="https://www.legis.iowa.gov/docs/iac/rule/441.87.7.pdf" Type="http://schemas.openxmlformats.org/officeDocument/2006/relationships/hyperlink" Id="rId50"/>
    <Relationship TargetMode="External" Target="https://www.legis.iowa.gov/docs/iac/rule/441.87.7.pdf" Type="http://schemas.openxmlformats.org/officeDocument/2006/relationships/hyperlink" Id="rId51"/>
    <Relationship TargetMode="External" Target="https://www.legis.iowa.gov/docs/ico/chapter/217.41B.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