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86</w:t>
      </w:r>
    </w:p>
    <w:p>
      <w:pPr>
        <w:spacing w:before="0" w:after="0"/>
        <w:ind w:left="120"/>
        <w:jc w:val="center"/>
      </w:pPr>
      <w:r>
        <w:rPr>
          <w:rFonts w:ascii="Times New Roman" w:hAnsi="Times New Roman"/>
          <w:b w:val="false"/>
          <w:i w:val="false"/>
          <w:color w:val="000000"/>
          <w:sz w:val="21"/>
        </w:rPr>
        <w:t>HEALTHY AND WELL KIDS IN IOWA (HAWKI)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10/1/30</w:t>
      </w:r>
    </w:p>
    <w:p>
      <w:pPr>
        <w:spacing w:before="0" w:after="0"/>
        <w:ind w:left="120"/>
        <w:jc w:val="both"/>
      </w:pPr>
      <w:r>
        <w:rPr>
          <w:rFonts w:ascii="Times New Roman" w:hAnsi="Times New Roman"/>
          <w:b/>
          <w:i w:val="false"/>
          <w:color w:val="000000"/>
          <w:sz w:val="22"/>
        </w:rPr>
        <w:t>441—86.1</w:t>
      </w:r>
      <w:r>
        <w:rPr>
          <w:rFonts w:ascii="Times New Roman" w:hAnsi="Times New Roman"/>
          <w:b/>
          <w:i w:val="false"/>
          <w:color w:val="000000"/>
          <w:sz w:val="22"/>
        </w:rPr>
        <w:t xml:space="preserve">(514I)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“Administrative error”</w:t>
      </w:r>
      <w:r>
        <w:rPr>
          <w:rFonts w:ascii="Times New Roman" w:hAnsi="Times New Roman"/>
          <w:b w:val="false"/>
          <w:i w:val="false"/>
          <w:color w:val="000000"/>
          <w:sz w:val="22"/>
        </w:rPr>
        <w:t> </w:t>
      </w:r>
      <w:r>
        <w:rPr>
          <w:rFonts w:ascii="Times New Roman" w:hAnsi="Times New Roman"/>
          <w:b w:val="false"/>
          <w:i w:val="false"/>
          <w:color w:val="000000"/>
          <w:sz w:val="22"/>
        </w:rPr>
        <w:t>means an action of the department that results in incorrect payment of benefits, including premiums paid to a health or dental plan, due to one or more of the following circumstances: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Misfiled or lost form or document.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Error in typing or copying.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Computer input error.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Mathematical error.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Failure to determine eligibility correctly when all essential information was available to the department.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Failure to request essential verification necessary to make an accurate eligibility determination.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Failure to make timely revision in eligibility following a change in policy requiring application of the policy change as of a specific date.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Failure to issue timely notice to cancel benefits that results in benefits continuing in error.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anyone in the household, including all adults and children under the age of 19 who are counted in the hawki family size according to the modified adjusted gross income methodology and who are listed on the application or renewal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“Capitation rate”</w:t>
      </w:r>
      <w:r>
        <w:rPr>
          <w:rFonts w:ascii="Times New Roman" w:hAnsi="Times New Roman"/>
          <w:b w:val="false"/>
          <w:i w:val="false"/>
          <w:color w:val="000000"/>
          <w:sz w:val="22"/>
        </w:rPr>
        <w:t> </w:t>
      </w:r>
      <w:r>
        <w:rPr>
          <w:rFonts w:ascii="Times New Roman" w:hAnsi="Times New Roman"/>
          <w:b w:val="false"/>
          <w:i w:val="false"/>
          <w:color w:val="000000"/>
          <w:sz w:val="22"/>
        </w:rPr>
        <w:t>means the fee the department pays monthly to a PHP for each enrolled recipient for the provision of covered medical services whether or not the enrolled recipient received services during the month for which the fee is intended.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“Client error”</w:t>
      </w:r>
      <w:r>
        <w:rPr>
          <w:rFonts w:ascii="Times New Roman" w:hAnsi="Times New Roman"/>
          <w:b w:val="false"/>
          <w:i w:val="false"/>
          <w:color w:val="000000"/>
          <w:sz w:val="22"/>
        </w:rPr>
        <w:t> </w:t>
      </w:r>
      <w:r>
        <w:rPr>
          <w:rFonts w:ascii="Times New Roman" w:hAnsi="Times New Roman"/>
          <w:b w:val="false"/>
          <w:i w:val="false"/>
          <w:color w:val="000000"/>
          <w:sz w:val="22"/>
        </w:rPr>
        <w:t>means any action or inaction of the enrollee or the enrollee’s representative that results in incorrect payment of benefits, including premiums paid to a health or dental plan, because at least one of the following occurred: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enrollee or the enrollee’s representative failed to disclose information or gave a false or misleading statement, oral or written, regarding income or another eligibility factor;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The enrollee or the enrollee’s representative failed to timely report a change as defined in rule </w:t>
      </w:r>
      <w:hyperlink r:id="rId5">
        <w:r>
          <w:rPr>
            <w:rStyle w:val="Hyperlink"/>
            <w:rFonts w:ascii="Times New Roman" w:hAnsi="Times New Roman"/>
            <w:b w:val="false"/>
            <w:i w:val="false"/>
            <w:color w:val="000000"/>
            <w:sz w:val="22"/>
          </w:rPr>
          <w:t>441—86.10</w:t>
        </w:r>
      </w:hyperlink>
      <w:r>
        <w:rPr>
          <w:rFonts w:ascii="Times New Roman" w:hAnsi="Times New Roman"/>
          <w:b w:val="false"/>
          <w:i w:val="false"/>
          <w:color w:val="000000"/>
          <w:sz w:val="22"/>
        </w:rPr>
        <w:t>(514I).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“Contract”</w:t>
      </w:r>
      <w:r>
        <w:rPr>
          <w:rFonts w:ascii="Times New Roman" w:hAnsi="Times New Roman"/>
          <w:b w:val="false"/>
          <w:i w:val="false"/>
          <w:color w:val="000000"/>
          <w:sz w:val="22"/>
        </w:rPr>
        <w:t> </w:t>
      </w:r>
      <w:r>
        <w:rPr>
          <w:rFonts w:ascii="Times New Roman" w:hAnsi="Times New Roman"/>
          <w:b w:val="false"/>
          <w:i w:val="false"/>
          <w:color w:val="000000"/>
          <w:sz w:val="22"/>
        </w:rPr>
        <w:t>means the contract between the department and the participating health or dental plan for the provision of medical or dental services to hawki enrollees for whom the participating health or dental plans assume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“Cost sharing”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payment of a premium or copayment as provided for by </w:t>
      </w:r>
      <w:r>
        <w:rPr>
          <w:rFonts w:ascii="Times New Roman" w:hAnsi="Times New Roman"/>
          <w:b w:val="false"/>
          <w:i w:val="false"/>
          <w:color w:val="000000"/>
          <w:sz w:val="22"/>
        </w:rPr>
        <w:t>Title XXI of the federal Social Security Act</w:t>
      </w:r>
      <w:r>
        <w:rPr>
          <w:rFonts w:ascii="Times New Roman" w:hAnsi="Times New Roman"/>
          <w:b w:val="false"/>
          <w:i w:val="false"/>
          <w:color w:val="000000"/>
          <w:sz w:val="22"/>
        </w:rPr>
        <w:t xml:space="preserve">, as amended to August 1, 2024, and Iowa Code section </w:t>
      </w:r>
      <w:hyperlink r:id="rId6">
        <w:r>
          <w:rPr>
            <w:rStyle w:val="Hyperlink"/>
            <w:rFonts w:ascii="Times New Roman" w:hAnsi="Times New Roman"/>
            <w:b w:val="false"/>
            <w:i w:val="false"/>
            <w:color w:val="000000"/>
            <w:sz w:val="22"/>
          </w:rPr>
          <w:t>514I.10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“Countable income”</w:t>
      </w:r>
      <w:r>
        <w:rPr>
          <w:rFonts w:ascii="Times New Roman" w:hAnsi="Times New Roman"/>
          <w:b w:val="false"/>
          <w:i w:val="false"/>
          <w:color w:val="000000"/>
          <w:sz w:val="22"/>
        </w:rPr>
        <w:t> </w:t>
      </w:r>
      <w:r>
        <w:rPr>
          <w:rFonts w:ascii="Times New Roman" w:hAnsi="Times New Roman"/>
          <w:b w:val="false"/>
          <w:i w:val="false"/>
          <w:color w:val="000000"/>
          <w:sz w:val="22"/>
        </w:rPr>
        <w:t>means earned and unearned income of the family according to the modified adjusted gross income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“Covered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all or a part of those medical and dental services set forth in rule </w:t>
      </w:r>
      <w:hyperlink r:id="rId7">
        <w:r>
          <w:rPr>
            <w:rStyle w:val="Hyperlink"/>
            <w:rFonts w:ascii="Times New Roman" w:hAnsi="Times New Roman"/>
            <w:b w:val="false"/>
            <w:i w:val="false"/>
            <w:color w:val="000000"/>
            <w:sz w:val="22"/>
          </w:rPr>
          <w:t>441—86.14</w:t>
        </w:r>
      </w:hyperlink>
      <w:r>
        <w:rPr>
          <w:rFonts w:ascii="Times New Roman" w:hAnsi="Times New Roman"/>
          <w:b w:val="false"/>
          <w:i w:val="false"/>
          <w:color w:val="000000"/>
          <w:sz w:val="22"/>
        </w:rPr>
        <w:t>(514I).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“Dentist”</w:t>
      </w:r>
      <w:r>
        <w:rPr>
          <w:rFonts w:ascii="Times New Roman" w:hAnsi="Times New Roman"/>
          <w:b w:val="false"/>
          <w:i w:val="false"/>
          <w:color w:val="000000"/>
          <w:sz w:val="22"/>
        </w:rPr>
        <w:t> </w:t>
      </w:r>
      <w:r>
        <w:rPr>
          <w:rFonts w:ascii="Times New Roman" w:hAnsi="Times New Roman"/>
          <w:b w:val="false"/>
          <w:i w:val="false"/>
          <w:color w:val="000000"/>
          <w:sz w:val="22"/>
        </w:rPr>
        <w:t>means a person who is licensed to practice dentistry.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“Eligible child”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who meets the criteria for participation in the hawki program as set forth in rule </w:t>
      </w:r>
      <w:hyperlink r:id="rId8">
        <w:r>
          <w:rPr>
            <w:rStyle w:val="Hyperlink"/>
            <w:rFonts w:ascii="Times New Roman" w:hAnsi="Times New Roman"/>
            <w:b w:val="false"/>
            <w:i w:val="false"/>
            <w:color w:val="000000"/>
            <w:sz w:val="22"/>
          </w:rPr>
          <w:t>441—86.2</w:t>
        </w:r>
      </w:hyperlink>
      <w:r>
        <w:rPr>
          <w:rFonts w:ascii="Times New Roman" w:hAnsi="Times New Roman"/>
          <w:b w:val="false"/>
          <w:i w:val="false"/>
          <w:color w:val="000000"/>
          <w:sz w:val="22"/>
        </w:rPr>
        <w:t>(514I).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dental condition”</w:t>
      </w:r>
      <w:r>
        <w:rPr>
          <w:rFonts w:ascii="Times New Roman" w:hAnsi="Times New Roman"/>
          <w:b w:val="false"/>
          <w:i w:val="false"/>
          <w:color w:val="000000"/>
          <w:sz w:val="22"/>
        </w:rPr>
        <w:t> </w:t>
      </w:r>
      <w:r>
        <w:rPr>
          <w:rFonts w:ascii="Times New Roman" w:hAnsi="Times New Roman"/>
          <w:b w:val="false"/>
          <w:i w:val="false"/>
          <w:color w:val="000000"/>
          <w:sz w:val="22"/>
        </w:rPr>
        <w:t>means an oral condition that occurs suddenly and creates an urgent need for professional consultation or treatment. Emergency conditions may include hemorrhage, infection, pain, broken teeth, knocked-out teeth, or other trauma.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medical condition”</w:t>
      </w:r>
      <w:r>
        <w:rPr>
          <w:rFonts w:ascii="Times New Roman" w:hAnsi="Times New Roman"/>
          <w:b w:val="false"/>
          <w:i w:val="false"/>
          <w:color w:val="000000"/>
          <w:sz w:val="22"/>
        </w:rPr>
        <w:t> </w:t>
      </w:r>
      <w:r>
        <w:rPr>
          <w:rFonts w:ascii="Times New Roman" w:hAnsi="Times New Roman"/>
          <w:b w:val="false"/>
          <w:i w:val="false"/>
          <w:color w:val="000000"/>
          <w:sz w:val="22"/>
        </w:rPr>
        <w:t>means a medical condition manifesting itself by acute symptoms of sufficient severity, including severe pain, such that a prudent layperson, who possesses an average knowledge of health and medicine, could reasonably expect the absence of immediate medical attention to result in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Placing the health of the person or, with respect to a pregnant woman, the health of the woman and her unborn child, in serious jeopardy,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Serious impairment to bodily functions,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Serious dysfunction of any bodily organ or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services”</w:t>
      </w:r>
      <w:r>
        <w:rPr>
          <w:rFonts w:ascii="Times New Roman" w:hAnsi="Times New Roman"/>
          <w:b w:val="false"/>
          <w:i w:val="false"/>
          <w:color w:val="000000"/>
          <w:sz w:val="22"/>
        </w:rPr>
        <w:t> </w:t>
      </w:r>
      <w:r>
        <w:rPr>
          <w:rFonts w:ascii="Times New Roman" w:hAnsi="Times New Roman"/>
          <w:b w:val="false"/>
          <w:i w:val="false"/>
          <w:color w:val="000000"/>
          <w:sz w:val="22"/>
        </w:rPr>
        <w:t>means, with respect to an individual enrolled with a plan, covered inpatient and outpatient services that are furnished by a provider qualified to furnish these services and that are needed to evaluate and stabilize an emergency medical or dental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“Enrollee”</w:t>
      </w:r>
      <w:r>
        <w:rPr>
          <w:rFonts w:ascii="Times New Roman" w:hAnsi="Times New Roman"/>
          <w:b w:val="false"/>
          <w:i w:val="false"/>
          <w:color w:val="000000"/>
          <w:sz w:val="22"/>
        </w:rPr>
        <w:t> </w:t>
      </w:r>
      <w:r>
        <w:rPr>
          <w:rFonts w:ascii="Times New Roman" w:hAnsi="Times New Roman"/>
          <w:b w:val="false"/>
          <w:i w:val="false"/>
          <w:color w:val="000000"/>
          <w:sz w:val="22"/>
        </w:rPr>
        <w:t>means a child who has been determined eligible for the program and who has been enrolled with a participating health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“Enrollment broker”</w:t>
      </w:r>
      <w:r>
        <w:rPr>
          <w:rFonts w:ascii="Times New Roman" w:hAnsi="Times New Roman"/>
          <w:b w:val="false"/>
          <w:i w:val="false"/>
          <w:color w:val="000000"/>
          <w:sz w:val="22"/>
        </w:rPr>
        <w:t> </w:t>
      </w:r>
      <w:r>
        <w:rPr>
          <w:rFonts w:ascii="Times New Roman" w:hAnsi="Times New Roman"/>
          <w:b w:val="false"/>
          <w:i w:val="false"/>
          <w:color w:val="000000"/>
          <w:sz w:val="22"/>
        </w:rPr>
        <w:t>means the entity the department uses to enroll eligible children with a managed care organization. The enrollment broker must be conflict-free and meet all applicable requirements of state and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w:t>
      </w:r>
      <w:r>
        <w:rPr>
          <w:rFonts w:ascii="Times New Roman" w:hAnsi="Times New Roman"/>
          <w:b w:val="false"/>
          <w:i w:val="false"/>
          <w:color w:val="000000"/>
          <w:sz w:val="22"/>
        </w:rPr>
        <w:t> </w:t>
      </w:r>
      <w:r>
        <w:rPr>
          <w:rFonts w:ascii="Times New Roman" w:hAnsi="Times New Roman"/>
          <w:b w:val="false"/>
          <w:i w:val="false"/>
          <w:color w:val="000000"/>
          <w:sz w:val="22"/>
        </w:rPr>
        <w:t>means anyone in the household, including all adults and children under the age of 19 who are counted in the hawki family size according to the modified adjusted gross income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“Federal poverty level”</w:t>
      </w:r>
      <w:r>
        <w:rPr>
          <w:rFonts w:ascii="Times New Roman" w:hAnsi="Times New Roman"/>
          <w:b w:val="false"/>
          <w:i w:val="false"/>
          <w:color w:val="000000"/>
          <w:sz w:val="22"/>
        </w:rPr>
        <w:t> </w:t>
      </w:r>
      <w:r>
        <w:rPr>
          <w:rFonts w:ascii="Times New Roman" w:hAnsi="Times New Roman"/>
          <w:b w:val="false"/>
          <w:i w:val="false"/>
          <w:color w:val="000000"/>
          <w:sz w:val="22"/>
        </w:rPr>
        <w:t>means the poverty income guidelines revised annually and published in the Federal Register by the United States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“Good cause”</w:t>
      </w:r>
      <w:r>
        <w:rPr>
          <w:rFonts w:ascii="Times New Roman" w:hAnsi="Times New Roman"/>
          <w:b w:val="false"/>
          <w:i w:val="false"/>
          <w:color w:val="000000"/>
          <w:sz w:val="22"/>
        </w:rPr>
        <w:t> </w:t>
      </w:r>
      <w:r>
        <w:rPr>
          <w:rFonts w:ascii="Times New Roman" w:hAnsi="Times New Roman"/>
          <w:b w:val="false"/>
          <w:i w:val="false"/>
          <w:color w:val="000000"/>
          <w:sz w:val="22"/>
        </w:rPr>
        <w:t>means the family has demonstrated that one or more of the following conditions exist: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There was a serious illness or death of the enrollee or a member of the enrollee’s family.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There was a family emergency or household disaster, such as a fire, flood, or tornado.</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There was a reason beyond the enrollee’s control.</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There was a failure to receive the department’s request for a reason not attributable to the enrollee. Lack of a forwarding address is attributable to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“Hawki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means the healthy and well kids in Iowa program implemented in this chapter to provide health and dental care coverage to eligible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insurance coverage”</w:t>
      </w:r>
      <w:r>
        <w:rPr>
          <w:rFonts w:ascii="Times New Roman" w:hAnsi="Times New Roman"/>
          <w:b w:val="false"/>
          <w:i w:val="false"/>
          <w:color w:val="000000"/>
          <w:sz w:val="22"/>
        </w:rPr>
        <w:t> </w:t>
      </w:r>
      <w:r>
        <w:rPr>
          <w:rFonts w:ascii="Times New Roman" w:hAnsi="Times New Roman"/>
          <w:b w:val="false"/>
          <w:i w:val="false"/>
          <w:color w:val="000000"/>
          <w:sz w:val="22"/>
        </w:rPr>
        <w:t>means health insurance coverage as defined in 45 CFR Section 144.103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Insurance Marketplace”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“Exchange”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entity authorized under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18031(d)(4)(F) (as amended to August 1, 2024) to evaluate and determine eligibility of applicants for Medicaid, the Children’s Health Insurance Program (CHIP), and other health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“Initial application”</w:t>
      </w:r>
      <w:r>
        <w:rPr>
          <w:rFonts w:ascii="Times New Roman" w:hAnsi="Times New Roman"/>
          <w:b w:val="false"/>
          <w:i w:val="false"/>
          <w:color w:val="000000"/>
          <w:sz w:val="22"/>
        </w:rPr>
        <w:t> </w:t>
      </w:r>
      <w:r>
        <w:rPr>
          <w:rFonts w:ascii="Times New Roman" w:hAnsi="Times New Roman"/>
          <w:b w:val="false"/>
          <w:i w:val="false"/>
          <w:color w:val="000000"/>
          <w:sz w:val="22"/>
        </w:rPr>
        <w:t>means the first program application or a subsequent application that is not a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“Institution for mental diseases”</w:t>
      </w:r>
      <w:r>
        <w:rPr>
          <w:rFonts w:ascii="Times New Roman" w:hAnsi="Times New Roman"/>
          <w:b w:val="false"/>
          <w:i w:val="false"/>
          <w:color w:val="000000"/>
          <w:sz w:val="22"/>
        </w:rPr>
        <w:t> </w:t>
      </w:r>
      <w:r>
        <w:rPr>
          <w:rFonts w:ascii="Times New Roman" w:hAnsi="Times New Roman"/>
          <w:b w:val="false"/>
          <w:i w:val="false"/>
          <w:color w:val="000000"/>
          <w:sz w:val="22"/>
        </w:rPr>
        <w:t>means the same as defined in 42 CFR Section 435.1010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Assistance Advisory Council”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“MAAC”</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advisory body authorized by Iowa Code section </w:t>
      </w:r>
      <w:hyperlink r:id="rId9">
        <w:r>
          <w:rPr>
            <w:rStyle w:val="Hyperlink"/>
            <w:rFonts w:ascii="Times New Roman" w:hAnsi="Times New Roman"/>
            <w:b w:val="false"/>
            <w:i w:val="false"/>
            <w:color w:val="000000"/>
            <w:sz w:val="22"/>
          </w:rPr>
          <w:t>249A.4B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“Modified adjusted gross income”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methodology prescribed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1396a(e)(14) and </w:t>
      </w:r>
      <w:r>
        <w:rPr>
          <w:rFonts w:ascii="Times New Roman" w:hAnsi="Times New Roman"/>
          <w:b w:val="false"/>
          <w:i w:val="false"/>
          <w:color w:val="000000"/>
          <w:sz w:val="22"/>
        </w:rPr>
        <w:t>42 CFR 435.603</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“Participating dental plan”</w:t>
      </w:r>
      <w:r>
        <w:rPr>
          <w:rFonts w:ascii="Times New Roman" w:hAnsi="Times New Roman"/>
          <w:b w:val="false"/>
          <w:i w:val="false"/>
          <w:color w:val="000000"/>
          <w:sz w:val="22"/>
        </w:rPr>
        <w:t> </w:t>
      </w:r>
      <w:r>
        <w:rPr>
          <w:rFonts w:ascii="Times New Roman" w:hAnsi="Times New Roman"/>
          <w:b w:val="false"/>
          <w:i w:val="false"/>
          <w:color w:val="000000"/>
          <w:sz w:val="22"/>
        </w:rPr>
        <w:t>means any entity licensed by the division of insurance of the department of insurance and financial services to provide dental insurance in Iowa that has contracted with the department to provide dental insurance coverage to eligible children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“Participating health plan”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“PHP”</w:t>
      </w:r>
      <w:r>
        <w:rPr>
          <w:rFonts w:ascii="Times New Roman" w:hAnsi="Times New Roman"/>
          <w:b w:val="false"/>
          <w:i w:val="false"/>
          <w:color w:val="000000"/>
          <w:sz w:val="22"/>
        </w:rPr>
        <w:t> </w:t>
      </w:r>
      <w:r>
        <w:rPr>
          <w:rFonts w:ascii="Times New Roman" w:hAnsi="Times New Roman"/>
          <w:b w:val="false"/>
          <w:i w:val="false"/>
          <w:color w:val="000000"/>
          <w:sz w:val="22"/>
        </w:rPr>
        <w:t>means any entity licensed by the division of insurance of the department of insurance and financial services to provide health insurance in Iowa or an organized delivery system licensed by the director that has contracted with the department to provide health insurance coverage to eligible children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“Passive enrollment process”</w:t>
      </w:r>
      <w:r>
        <w:rPr>
          <w:rFonts w:ascii="Times New Roman" w:hAnsi="Times New Roman"/>
          <w:b w:val="false"/>
          <w:i w:val="false"/>
          <w:color w:val="000000"/>
          <w:sz w:val="22"/>
        </w:rPr>
        <w:t> </w:t>
      </w:r>
      <w:r>
        <w:rPr>
          <w:rFonts w:ascii="Times New Roman" w:hAnsi="Times New Roman"/>
          <w:b w:val="false"/>
          <w:i w:val="false"/>
          <w:color w:val="000000"/>
          <w:sz w:val="22"/>
        </w:rPr>
        <w:t>means the process by which the department assigns a child to a participating health or dental plan and which seeks to preserve existing provider-enrollee relationships, if possible. In the absence of existing relationships, the process ensures that members are equally distributed among all available health or dental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135.1(4)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“Provider”</w:t>
      </w:r>
      <w:r>
        <w:rPr>
          <w:rFonts w:ascii="Times New Roman" w:hAnsi="Times New Roman"/>
          <w:b w:val="false"/>
          <w:i w:val="false"/>
          <w:color w:val="000000"/>
          <w:sz w:val="22"/>
        </w:rPr>
        <w:t> </w:t>
      </w:r>
      <w:r>
        <w:rPr>
          <w:rFonts w:ascii="Times New Roman" w:hAnsi="Times New Roman"/>
          <w:b w:val="false"/>
          <w:i w:val="false"/>
          <w:color w:val="000000"/>
          <w:sz w:val="22"/>
        </w:rPr>
        <w:t>means an individual, firm, corporation, association, or institution that is providing or has been approved to provide medical or dental care or services to an enrollee pursuant to the hawki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institution”</w:t>
      </w:r>
      <w:r>
        <w:rPr>
          <w:rFonts w:ascii="Times New Roman" w:hAnsi="Times New Roman"/>
          <w:b w:val="false"/>
          <w:i w:val="false"/>
          <w:color w:val="000000"/>
          <w:sz w:val="22"/>
        </w:rPr>
        <w:t> </w:t>
      </w:r>
      <w:r>
        <w:rPr>
          <w:rFonts w:ascii="Times New Roman" w:hAnsi="Times New Roman"/>
          <w:b w:val="false"/>
          <w:i w:val="false"/>
          <w:color w:val="000000"/>
          <w:sz w:val="22"/>
        </w:rPr>
        <w:t>means the same as defined in 42 CFR Section 435.1010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“Renewal”</w:t>
      </w:r>
      <w:r>
        <w:rPr>
          <w:rFonts w:ascii="Times New Roman" w:hAnsi="Times New Roman"/>
          <w:b w:val="false"/>
          <w:i w:val="false"/>
          <w:color w:val="000000"/>
          <w:sz w:val="22"/>
        </w:rPr>
        <w:t> </w:t>
      </w:r>
      <w:r>
        <w:rPr>
          <w:rFonts w:ascii="Times New Roman" w:hAnsi="Times New Roman"/>
          <w:b w:val="false"/>
          <w:i w:val="false"/>
          <w:color w:val="000000"/>
          <w:sz w:val="22"/>
        </w:rPr>
        <w:t>means any application used to establish ongoing eligibility, without a break in coverage, for any enrollment period subsequent to an enrollment period established by an initial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“Supplemental dental-only coverage”</w:t>
      </w:r>
      <w:r>
        <w:rPr>
          <w:rFonts w:ascii="Times New Roman" w:hAnsi="Times New Roman"/>
          <w:b w:val="false"/>
          <w:i w:val="false"/>
          <w:color w:val="000000"/>
          <w:sz w:val="22"/>
        </w:rPr>
        <w:t> </w:t>
      </w:r>
      <w:r>
        <w:rPr>
          <w:rFonts w:ascii="Times New Roman" w:hAnsi="Times New Roman"/>
          <w:b w:val="false"/>
          <w:i w:val="false"/>
          <w:color w:val="000000"/>
          <w:sz w:val="22"/>
        </w:rPr>
        <w:t>means dental care coverage provided to a child who meets the eligibility requirements for the hawki program except that the child is covered by health insurance through an individual or group health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441—86.2</w:t>
      </w:r>
      <w:r>
        <w:rPr>
          <w:rFonts w:ascii="Times New Roman" w:hAnsi="Times New Roman"/>
          <w:b/>
          <w:i w:val="false"/>
          <w:color w:val="000000"/>
          <w:sz w:val="22"/>
        </w:rPr>
        <w:t xml:space="preserve">(514I) </w:t>
      </w:r>
      <w:r>
        <w:rPr>
          <w:rFonts w:ascii="Times New Roman" w:hAnsi="Times New Roman"/>
          <w:b/>
          <w:i w:val="false"/>
          <w:color w:val="000000"/>
          <w:sz w:val="22"/>
        </w:rPr>
        <w:t xml:space="preserve">Eligibility factors. </w:t>
      </w:r>
      <w:r>
        <w:rPr>
          <w:rFonts w:ascii="Times New Roman" w:hAnsi="Times New Roman"/>
          <w:b w:val="false"/>
          <w:i w:val="false"/>
          <w:color w:val="000000"/>
          <w:sz w:val="22"/>
        </w:rPr>
        <w:t>The decision with respect to eligibility will be based primarily on electronic data matches and information furnished by the applicant, the enrollee, or a person acting on behalf of the applicant or enrollee. A child must meet the following eligibility factors to participate in the hawki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86.2(1)</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The child shall be under 19 years of age. Eligibility for the program ends the first day of the month following the month of the child’s nineteenth birthday.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86.2(2)</w:t>
      </w:r>
      <w:r>
        <w:rPr>
          <w:rFonts w:ascii="Times New Roman" w:hAnsi="Times New Roman"/>
          <w:b w:val="false"/>
          <w:i w:val="false"/>
          <w:color w:val="000000"/>
          <w:sz w:val="22"/>
        </w:rPr>
        <w:t> </w:t>
      </w:r>
      <w:r>
        <w:rPr>
          <w:rFonts w:ascii="Times New Roman" w:hAnsi="Times New Roman"/>
          <w:b w:val="false"/>
          <w:i/>
          <w:color w:val="000000"/>
          <w:sz w:val="22"/>
        </w:rPr>
        <w:t xml:space="preserve">Income.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Countable income. </w:t>
      </w:r>
      <w:r>
        <w:rPr>
          <w:rFonts w:ascii="Times New Roman" w:hAnsi="Times New Roman"/>
          <w:b w:val="false"/>
          <w:i w:val="false"/>
          <w:color w:val="000000"/>
          <w:sz w:val="22"/>
        </w:rPr>
        <w:t>In determining initial and ongoing eligibility for the hawki program, countable income shall not exceed 302 percent of the federal poverty level for a family of the same size. Countable income shall be determined using the modified adjusted gross income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Verification of income. </w:t>
      </w:r>
      <w:r>
        <w:rPr>
          <w:rFonts w:ascii="Times New Roman" w:hAnsi="Times New Roman"/>
          <w:b w:val="false"/>
          <w:i w:val="false"/>
          <w:color w:val="000000"/>
          <w:sz w:val="22"/>
        </w:rPr>
        <w:t>Income shall be verified through electronic data matches when possible or otherwise verified using the best information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Pay stubs, tip records, tax records and employers’ statements are acceptable forms of verification of earned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self-employment income cannot be verified through electronic means, business records or income tax returns from the previous year can be used if they are representative of anticipated earnings. If business records or tax returns from the previous year are not representative of anticipated earnings, an average of the business records or tax returns from the previous two or three years may be used if that average is representative of anticipated earnings.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Changes in income. </w:t>
      </w:r>
      <w:r>
        <w:rPr>
          <w:rFonts w:ascii="Times New Roman" w:hAnsi="Times New Roman"/>
          <w:b w:val="false"/>
          <w:i w:val="false"/>
          <w:color w:val="000000"/>
          <w:sz w:val="22"/>
        </w:rPr>
        <w:t xml:space="preserve">Once initial eligibility is established, changes in income during the 12-month enrollment period shall not affect the child’s eligibility to participate in the hawki program. However, if income has decreased, the family may request a review of their income to establish whether they are required to continue paying a premium in accordance with rule </w:t>
      </w:r>
      <w:hyperlink r:id="rId11">
        <w:r>
          <w:rPr>
            <w:rStyle w:val="Hyperlink"/>
            <w:rFonts w:ascii="Times New Roman" w:hAnsi="Times New Roman"/>
            <w:b w:val="false"/>
            <w:i w:val="false"/>
            <w:color w:val="000000"/>
            <w:sz w:val="22"/>
          </w:rPr>
          <w:t>441—86.8</w:t>
        </w:r>
      </w:hyperlink>
      <w:r>
        <w:rPr>
          <w:rFonts w:ascii="Times New Roman" w:hAnsi="Times New Roman"/>
          <w:b w:val="false"/>
          <w:i w:val="false"/>
          <w:color w:val="000000"/>
          <w:sz w:val="22"/>
        </w:rPr>
        <w:t>(514I).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86.2(3)</w:t>
      </w:r>
      <w:r>
        <w:rPr>
          <w:rFonts w:ascii="Times New Roman" w:hAnsi="Times New Roman"/>
          <w:b w:val="false"/>
          <w:i w:val="false"/>
          <w:color w:val="000000"/>
          <w:sz w:val="22"/>
        </w:rPr>
        <w:t> </w:t>
      </w:r>
      <w:r>
        <w:rPr>
          <w:rFonts w:ascii="Times New Roman" w:hAnsi="Times New Roman"/>
          <w:b w:val="false"/>
          <w:i/>
          <w:color w:val="000000"/>
          <w:sz w:val="22"/>
        </w:rPr>
        <w:t xml:space="preserve">Family size. </w:t>
      </w:r>
      <w:r>
        <w:rPr>
          <w:rFonts w:ascii="Times New Roman" w:hAnsi="Times New Roman"/>
          <w:b w:val="false"/>
          <w:i w:val="false"/>
          <w:color w:val="000000"/>
          <w:sz w:val="22"/>
        </w:rPr>
        <w:t>For purposes of establishing initial and ongoing eligibility under the hawki program, the family size shall be determined according to the modified adjusted gross income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86.2(4)</w:t>
      </w:r>
      <w:r>
        <w:rPr>
          <w:rFonts w:ascii="Times New Roman" w:hAnsi="Times New Roman"/>
          <w:b w:val="false"/>
          <w:i w:val="false"/>
          <w:color w:val="000000"/>
          <w:sz w:val="22"/>
        </w:rPr>
        <w:t> </w:t>
      </w:r>
      <w:r>
        <w:rPr>
          <w:rFonts w:ascii="Times New Roman" w:hAnsi="Times New Roman"/>
          <w:b w:val="false"/>
          <w:i/>
          <w:color w:val="000000"/>
          <w:sz w:val="22"/>
        </w:rPr>
        <w:t xml:space="preserve">Uninsured status. </w:t>
      </w:r>
      <w:r>
        <w:rPr>
          <w:rFonts w:ascii="Times New Roman" w:hAnsi="Times New Roman"/>
          <w:b w:val="false"/>
          <w:i w:val="false"/>
          <w:color w:val="000000"/>
          <w:sz w:val="22"/>
        </w:rPr>
        <w:t>The child must be uninsured as outlined in 42 CFR 457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86.2(5)</w:t>
      </w:r>
      <w:r>
        <w:rPr>
          <w:rFonts w:ascii="Times New Roman" w:hAnsi="Times New Roman"/>
          <w:b w:val="false"/>
          <w:i w:val="false"/>
          <w:color w:val="000000"/>
          <w:sz w:val="22"/>
        </w:rPr>
        <w:t> </w:t>
      </w:r>
      <w:r>
        <w:rPr>
          <w:rFonts w:ascii="Times New Roman" w:hAnsi="Times New Roman"/>
          <w:b w:val="false"/>
          <w:i/>
          <w:color w:val="000000"/>
          <w:sz w:val="22"/>
        </w:rPr>
        <w:t xml:space="preserve">Ineligibility for Medicaid. </w:t>
      </w:r>
      <w:r>
        <w:rPr>
          <w:rFonts w:ascii="Times New Roman" w:hAnsi="Times New Roman"/>
          <w:b w:val="false"/>
          <w:i w:val="false"/>
          <w:color w:val="000000"/>
          <w:sz w:val="22"/>
        </w:rPr>
        <w:t xml:space="preserve">The child shall not be receiving Medicaid or eligible to receive Medicaid except when the child would be required to meet a spenddown under the medically needy program in accordance with the provisions of </w:t>
      </w:r>
      <w:hyperlink r:id="rId12">
        <w:r>
          <w:rPr>
            <w:rStyle w:val="Hyperlink"/>
            <w:rFonts w:ascii="Times New Roman" w:hAnsi="Times New Roman"/>
            <w:b w:val="false"/>
            <w:i w:val="false"/>
            <w:color w:val="000000"/>
            <w:sz w:val="22"/>
          </w:rPr>
          <w:t>441—subrule 75.1(35)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86.2(6)</w:t>
      </w:r>
      <w:r>
        <w:rPr>
          <w:rFonts w:ascii="Times New Roman" w:hAnsi="Times New Roman"/>
          <w:b w:val="false"/>
          <w:i w:val="false"/>
          <w:color w:val="000000"/>
          <w:sz w:val="22"/>
        </w:rPr>
        <w:t> </w:t>
      </w:r>
      <w:r>
        <w:rPr>
          <w:rFonts w:ascii="Times New Roman" w:hAnsi="Times New Roman"/>
          <w:b w:val="false"/>
          <w:i/>
          <w:color w:val="000000"/>
          <w:sz w:val="22"/>
        </w:rPr>
        <w:t xml:space="preserve">Iowa residency. </w:t>
      </w:r>
      <w:r>
        <w:rPr>
          <w:rFonts w:ascii="Times New Roman" w:hAnsi="Times New Roman"/>
          <w:b w:val="false"/>
          <w:i w:val="false"/>
          <w:color w:val="000000"/>
          <w:sz w:val="22"/>
        </w:rPr>
        <w:t xml:space="preserve">Residency in Iowa is a condition of eligibility for the hawki program. Residency shall be established in accordance with rule </w:t>
      </w:r>
      <w:hyperlink r:id="rId13">
        <w:r>
          <w:rPr>
            <w:rStyle w:val="Hyperlink"/>
            <w:rFonts w:ascii="Times New Roman" w:hAnsi="Times New Roman"/>
            <w:b w:val="false"/>
            <w:i w:val="false"/>
            <w:color w:val="000000"/>
            <w:sz w:val="22"/>
          </w:rPr>
          <w:t>441—75.10</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86.2(7)</w:t>
      </w:r>
      <w:r>
        <w:rPr>
          <w:rFonts w:ascii="Times New Roman" w:hAnsi="Times New Roman"/>
          <w:b w:val="false"/>
          <w:i w:val="false"/>
          <w:color w:val="000000"/>
          <w:sz w:val="22"/>
        </w:rPr>
        <w:t> </w:t>
      </w:r>
      <w:r>
        <w:rPr>
          <w:rFonts w:ascii="Times New Roman" w:hAnsi="Times New Roman"/>
          <w:b w:val="false"/>
          <w:i/>
          <w:color w:val="000000"/>
          <w:sz w:val="22"/>
        </w:rPr>
        <w:t xml:space="preserve">Citizenship and immigration status. </w:t>
      </w:r>
      <w:r>
        <w:rPr>
          <w:rFonts w:ascii="Times New Roman" w:hAnsi="Times New Roman"/>
          <w:b w:val="false"/>
          <w:i w:val="false"/>
          <w:color w:val="000000"/>
          <w:sz w:val="22"/>
        </w:rPr>
        <w:t xml:space="preserve">To be eligible for the hawki program, the child shall be a citizen or lawfully admitted immigrant. The criteria established under </w:t>
      </w:r>
      <w:hyperlink r:id="rId14">
        <w:r>
          <w:rPr>
            <w:rStyle w:val="Hyperlink"/>
            <w:rFonts w:ascii="Times New Roman" w:hAnsi="Times New Roman"/>
            <w:b w:val="false"/>
            <w:i w:val="false"/>
            <w:color w:val="000000"/>
            <w:sz w:val="22"/>
          </w:rPr>
          <w:t>441—subrule 75.11(2)</w:t>
        </w:r>
      </w:hyperlink>
      <w:r>
        <w:rPr>
          <w:rFonts w:ascii="Times New Roman" w:hAnsi="Times New Roman"/>
          <w:b w:val="false"/>
          <w:i w:val="false"/>
          <w:color w:val="000000"/>
          <w:sz w:val="22"/>
        </w:rPr>
        <w:t xml:space="preserve"> shall be followed when determining whether a lawfully admitted immigrant child is eligible to participate in the hawki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citizenship or immigration status of the parents or other responsible person shall not be considered when determining the eligibility of the child to participate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a condition of eligibility for hawki: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applicants shall attest to their citizenship status by signing the application form, which contains a citizenship declaration.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child under the age of 19 is not living independently, the child’s parent or other responsible person with whom the child lives shall be responsible for attesting to the child’s citizenship or immigration status and for providing any required proof of the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15">
        <w:r>
          <w:rPr>
            <w:rStyle w:val="Hyperlink"/>
            <w:rFonts w:ascii="Times New Roman" w:hAnsi="Times New Roman"/>
            <w:b w:val="false"/>
            <w:i w:val="false"/>
            <w:color w:val="000000"/>
            <w:sz w:val="22"/>
          </w:rPr>
          <w:t>441—paragraph 75.11(2)</w:t>
        </w:r>
      </w:hyperlink>
      <w:r>
        <w:rPr>
          <w:rFonts w:ascii="Times New Roman" w:hAnsi="Times New Roman"/>
          <w:b w:val="false"/>
          <w:i/>
          <w:color w:val="000000"/>
          <w:sz w:val="22"/>
        </w:rPr>
        <w:t>“f,”</w:t>
      </w:r>
      <w:r>
        <w:rPr>
          <w:rFonts w:ascii="Times New Roman" w:hAnsi="Times New Roman"/>
          <w:b w:val="false"/>
          <w:i w:val="false"/>
          <w:color w:val="000000"/>
          <w:sz w:val="22"/>
        </w:rPr>
        <w:t xml:space="preserve"> applicants or enrollees for whom an attestation of United States citizenship has been made pursuant to paragraph </w:t>
      </w:r>
      <w:hyperlink r:id="rId16">
        <w:r>
          <w:rPr>
            <w:rStyle w:val="Hyperlink"/>
            <w:rFonts w:ascii="Times New Roman" w:hAnsi="Times New Roman"/>
            <w:b w:val="false"/>
            <w:i w:val="false"/>
            <w:color w:val="000000"/>
            <w:sz w:val="22"/>
          </w:rPr>
          <w:t>86.2(7)</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present satisfactory documentation of citizenship or nationality as defined in 441—paragraphs </w:t>
      </w:r>
      <w:hyperlink r:id="rId17">
        <w:r>
          <w:rPr>
            <w:rStyle w:val="Hyperlink"/>
            <w:rFonts w:ascii="Times New Roman" w:hAnsi="Times New Roman"/>
            <w:b w:val="false"/>
            <w:i w:val="false"/>
            <w:color w:val="000000"/>
            <w:sz w:val="22"/>
          </w:rPr>
          <w:t>75.11(2)</w:t>
        </w:r>
        <w:r>
          <w:rPr>
            <w:rFonts w:ascii="Times New Roman" w:hAnsi="Times New Roman"/>
            <w:b w:val="false"/>
            <w:i/>
            <w:color w:val="000000"/>
            <w:sz w:val="22"/>
          </w:rPr>
          <w:t>“d,”</w:t>
        </w:r>
      </w:hyperlink>
      <w:r>
        <w:rPr>
          <w:rFonts w:ascii="Times New Roman" w:hAnsi="Times New Roman"/>
          <w:b w:val="false"/>
          <w:i/>
          <w:color w:val="000000"/>
          <w:sz w:val="22"/>
        </w:rPr>
        <w:t>“e,”</w:t>
      </w:r>
      <w:r>
        <w:rPr>
          <w:rFonts w:ascii="Times New Roman" w:hAnsi="Times New Roman"/>
          <w:b w:val="false"/>
          <w:i/>
          <w:color w:val="000000"/>
          <w:sz w:val="22"/>
        </w:rPr>
        <w:t>“g,”</w:t>
      </w:r>
      <w:r>
        <w:rPr>
          <w:rFonts w:ascii="Times New Roman" w:hAnsi="Times New Roman"/>
          <w:b w:val="false"/>
          <w:i/>
          <w:color w:val="000000"/>
          <w:sz w:val="22"/>
        </w:rPr>
        <w:t>“h,”</w:t>
      </w:r>
      <w:r>
        <w:rPr>
          <w:rFonts w:ascii="Times New Roman" w:hAnsi="Times New Roman"/>
          <w:b w:val="false"/>
          <w:i w:val="false"/>
          <w:color w:val="000000"/>
          <w:sz w:val="22"/>
        </w:rPr>
        <w:t xml:space="preserve"> and </w:t>
      </w:r>
      <w:r>
        <w:rPr>
          <w:rFonts w:ascii="Times New Roman" w:hAnsi="Times New Roman"/>
          <w:b w:val="false"/>
          <w:i/>
          <w:color w:val="000000"/>
          <w:sz w:val="22"/>
        </w:rPr>
        <w:t>“i.”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or enrollee shall have a reasonable opportunity period to obtain and provide proof of citizenship and nationality in accordance with </w:t>
      </w:r>
      <w:hyperlink r:id="rId18">
        <w:r>
          <w:rPr>
            <w:rStyle w:val="Hyperlink"/>
            <w:rFonts w:ascii="Times New Roman" w:hAnsi="Times New Roman"/>
            <w:b w:val="false"/>
            <w:i w:val="false"/>
            <w:color w:val="000000"/>
            <w:sz w:val="22"/>
          </w:rPr>
          <w:t>441—paragraph 75.11(2)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provide acceptable documentary evidence for a child shall not affect the eligibility of other children in the family for whom acceptable documentary evidence has been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86.2(8)</w:t>
      </w:r>
      <w:r>
        <w:rPr>
          <w:rFonts w:ascii="Times New Roman" w:hAnsi="Times New Roman"/>
          <w:b w:val="false"/>
          <w:i w:val="false"/>
          <w:color w:val="000000"/>
          <w:sz w:val="22"/>
        </w:rPr>
        <w:t> </w:t>
      </w:r>
      <w:r>
        <w:rPr>
          <w:rFonts w:ascii="Times New Roman" w:hAnsi="Times New Roman"/>
          <w:b w:val="false"/>
          <w:i/>
          <w:color w:val="000000"/>
          <w:sz w:val="22"/>
        </w:rPr>
        <w:t xml:space="preserve">Dependents of state of Iowa employees. </w:t>
      </w:r>
      <w:r>
        <w:rPr>
          <w:rFonts w:ascii="Times New Roman" w:hAnsi="Times New Roman"/>
          <w:b w:val="false"/>
          <w:i w:val="false"/>
          <w:color w:val="000000"/>
          <w:sz w:val="22"/>
        </w:rPr>
        <w:t>The child shall not be eligible for the hawki program if the child is eligible for health insurance coverage as a dependent of a state of Iowa employee unless the state contributes only a nominal amount toward the cost of dependent coverage. “Nominal amount” means $10 or less per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86.2(9)</w:t>
      </w:r>
      <w:r>
        <w:rPr>
          <w:rFonts w:ascii="Times New Roman" w:hAnsi="Times New Roman"/>
          <w:b w:val="false"/>
          <w:i w:val="false"/>
          <w:color w:val="000000"/>
          <w:sz w:val="22"/>
        </w:rPr>
        <w:t> </w:t>
      </w:r>
      <w:r>
        <w:rPr>
          <w:rFonts w:ascii="Times New Roman" w:hAnsi="Times New Roman"/>
          <w:b w:val="false"/>
          <w:i/>
          <w:color w:val="000000"/>
          <w:sz w:val="22"/>
        </w:rPr>
        <w:t xml:space="preserve">Inmates of public institutions. </w:t>
      </w:r>
      <w:r>
        <w:rPr>
          <w:rFonts w:ascii="Times New Roman" w:hAnsi="Times New Roman"/>
          <w:b w:val="false"/>
          <w:i w:val="false"/>
          <w:color w:val="000000"/>
          <w:sz w:val="22"/>
        </w:rPr>
        <w:t>The child shall not be an inmate of a public institution as defined at 42 CFR Section 435.1010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86.2(10)</w:t>
      </w:r>
      <w:r>
        <w:rPr>
          <w:rFonts w:ascii="Times New Roman" w:hAnsi="Times New Roman"/>
          <w:b w:val="false"/>
          <w:i w:val="false"/>
          <w:color w:val="000000"/>
          <w:sz w:val="22"/>
        </w:rPr>
        <w:t> </w:t>
      </w:r>
      <w:r>
        <w:rPr>
          <w:rFonts w:ascii="Times New Roman" w:hAnsi="Times New Roman"/>
          <w:b w:val="false"/>
          <w:i/>
          <w:color w:val="000000"/>
          <w:sz w:val="22"/>
        </w:rPr>
        <w:t xml:space="preserve">Inmates of institutions for mental disease. </w:t>
      </w:r>
      <w:r>
        <w:rPr>
          <w:rFonts w:ascii="Times New Roman" w:hAnsi="Times New Roman"/>
          <w:b w:val="false"/>
          <w:i w:val="false"/>
          <w:color w:val="000000"/>
          <w:sz w:val="22"/>
        </w:rPr>
        <w:t>At the time of application or annual review of eligibility, the child shall not be an inmate of an institution for mental disease as defined at 42 CFR Section 435.1010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86.2(11)</w:t>
      </w:r>
      <w:r>
        <w:rPr>
          <w:rFonts w:ascii="Times New Roman" w:hAnsi="Times New Roman"/>
          <w:b w:val="false"/>
          <w:i w:val="false"/>
          <w:color w:val="000000"/>
          <w:sz w:val="22"/>
        </w:rPr>
        <w:t> </w:t>
      </w:r>
      <w:r>
        <w:rPr>
          <w:rFonts w:ascii="Times New Roman" w:hAnsi="Times New Roman"/>
          <w:b w:val="false"/>
          <w:i/>
          <w:color w:val="000000"/>
          <w:sz w:val="22"/>
        </w:rPr>
        <w:t xml:space="preserve">Furnishing a social security number. </w:t>
      </w:r>
      <w:r>
        <w:rPr>
          <w:rFonts w:ascii="Times New Roman" w:hAnsi="Times New Roman"/>
          <w:b w:val="false"/>
          <w:i w:val="false"/>
          <w:color w:val="000000"/>
          <w:sz w:val="22"/>
        </w:rPr>
        <w:t xml:space="preserve">As a condition of eligibility and in accordance with rule </w:t>
      </w:r>
      <w:hyperlink r:id="rId19">
        <w:r>
          <w:rPr>
            <w:rStyle w:val="Hyperlink"/>
            <w:rFonts w:ascii="Times New Roman" w:hAnsi="Times New Roman"/>
            <w:b w:val="false"/>
            <w:i w:val="false"/>
            <w:color w:val="000000"/>
            <w:sz w:val="22"/>
          </w:rPr>
          <w:t>441—75.7</w:t>
        </w:r>
      </w:hyperlink>
      <w:r>
        <w:rPr>
          <w:rFonts w:ascii="Times New Roman" w:hAnsi="Times New Roman"/>
          <w:b w:val="false"/>
          <w:i w:val="false"/>
          <w:color w:val="000000"/>
          <w:sz w:val="22"/>
        </w:rPr>
        <w:t>(249A), a social security number or proof of application for the number if the number has not been issued or is not known must be furnished for a child for whom coverage under hawki is being requested or received.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441—86.3</w:t>
      </w:r>
      <w:r>
        <w:rPr>
          <w:rFonts w:ascii="Times New Roman" w:hAnsi="Times New Roman"/>
          <w:b/>
          <w:i w:val="false"/>
          <w:color w:val="000000"/>
          <w:sz w:val="22"/>
        </w:rPr>
        <w:t xml:space="preserve">(514I)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86.3(1)</w:t>
      </w:r>
      <w:r>
        <w:rPr>
          <w:rFonts w:ascii="Times New Roman" w:hAnsi="Times New Roman"/>
          <w:b w:val="false"/>
          <w:i w:val="false"/>
          <w:color w:val="000000"/>
          <w:sz w:val="22"/>
        </w:rPr>
        <w:t> </w:t>
      </w:r>
      <w:r>
        <w:rPr>
          <w:rFonts w:ascii="Times New Roman" w:hAnsi="Times New Roman"/>
          <w:b w:val="false"/>
          <w:i/>
          <w:color w:val="000000"/>
          <w:sz w:val="22"/>
        </w:rPr>
        <w:t xml:space="preserve">Who may apply. </w:t>
      </w:r>
      <w:r>
        <w:rPr>
          <w:rFonts w:ascii="Times New Roman" w:hAnsi="Times New Roman"/>
          <w:b w:val="false"/>
          <w:i w:val="false"/>
          <w:color w:val="000000"/>
          <w:sz w:val="22"/>
        </w:rPr>
        <w:t xml:space="preserve">Each person wishing to do so shall have the opportunity to apply for the hawki program in accordance with rule </w:t>
      </w:r>
      <w:hyperlink r:id="rId20">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86.3(2)</w:t>
      </w:r>
      <w:r>
        <w:rPr>
          <w:rFonts w:ascii="Times New Roman" w:hAnsi="Times New Roman"/>
          <w:b w:val="false"/>
          <w:i w:val="false"/>
          <w:color w:val="000000"/>
          <w:sz w:val="22"/>
        </w:rPr>
        <w:t> </w:t>
      </w:r>
      <w:r>
        <w:rPr>
          <w:rFonts w:ascii="Times New Roman" w:hAnsi="Times New Roman"/>
          <w:b w:val="false"/>
          <w:i/>
          <w:color w:val="000000"/>
          <w:sz w:val="22"/>
        </w:rPr>
        <w:t xml:space="preserve">Place of filing. </w:t>
      </w:r>
      <w:r>
        <w:rPr>
          <w:rFonts w:ascii="Times New Roman" w:hAnsi="Times New Roman"/>
          <w:b w:val="false"/>
          <w:i w:val="false"/>
          <w:color w:val="000000"/>
          <w:sz w:val="22"/>
        </w:rPr>
        <w:t>An application for the hawki program may be filed with the department through an internet website, by telephone, through other electronic means, or through an exchange, disproportionate share hospital, federally qualified health center, or other facility in which outstationing activities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86.3(3)</w:t>
      </w:r>
      <w:r>
        <w:rPr>
          <w:rFonts w:ascii="Times New Roman" w:hAnsi="Times New Roman"/>
          <w:b w:val="false"/>
          <w:i w:val="false"/>
          <w:color w:val="000000"/>
          <w:sz w:val="22"/>
        </w:rPr>
        <w:t> </w:t>
      </w:r>
      <w:r>
        <w:rPr>
          <w:rFonts w:ascii="Times New Roman" w:hAnsi="Times New Roman"/>
          <w:b w:val="false"/>
          <w:i/>
          <w:color w:val="000000"/>
          <w:sz w:val="22"/>
        </w:rPr>
        <w:t xml:space="preserve">Right to withdraw application. </w:t>
      </w:r>
      <w:r>
        <w:rPr>
          <w:rFonts w:ascii="Times New Roman" w:hAnsi="Times New Roman"/>
          <w:b w:val="false"/>
          <w:i w:val="false"/>
          <w:color w:val="000000"/>
          <w:sz w:val="22"/>
        </w:rPr>
        <w:t>After an application has been filed, the applicant may withdraw the application at any time prior to the eligibility determination. Requests for voluntary withdrawal of the application will be documented, and the applicant will be sent a notice of decision confirming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86.3(4)</w:t>
      </w:r>
      <w:r>
        <w:rPr>
          <w:rFonts w:ascii="Times New Roman" w:hAnsi="Times New Roman"/>
          <w:b w:val="false"/>
          <w:i w:val="false"/>
          <w:color w:val="000000"/>
          <w:sz w:val="22"/>
        </w:rPr>
        <w:t> </w:t>
      </w:r>
      <w:r>
        <w:rPr>
          <w:rFonts w:ascii="Times New Roman" w:hAnsi="Times New Roman"/>
          <w:b w:val="false"/>
          <w:i/>
          <w:color w:val="000000"/>
          <w:sz w:val="22"/>
        </w:rPr>
        <w:t xml:space="preserve">Application not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will not be required when a child becomes ineligible for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new application will not be required when an eligible child is added to an existing hawki eligible group.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new application will not be required when a child moves between supplemental dental-only coverage as specified in rule </w:t>
      </w:r>
      <w:hyperlink r:id="rId21">
        <w:r>
          <w:rPr>
            <w:rStyle w:val="Hyperlink"/>
            <w:rFonts w:ascii="Times New Roman" w:hAnsi="Times New Roman"/>
            <w:b w:val="false"/>
            <w:i w:val="false"/>
            <w:color w:val="000000"/>
            <w:sz w:val="22"/>
          </w:rPr>
          <w:t>441—86.20</w:t>
        </w:r>
      </w:hyperlink>
      <w:r>
        <w:rPr>
          <w:rFonts w:ascii="Times New Roman" w:hAnsi="Times New Roman"/>
          <w:b w:val="false"/>
          <w:i w:val="false"/>
          <w:color w:val="000000"/>
          <w:sz w:val="22"/>
        </w:rPr>
        <w:t>(514I) and full medical and dental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86.3(5)</w:t>
      </w:r>
      <w:r>
        <w:rPr>
          <w:rFonts w:ascii="Times New Roman" w:hAnsi="Times New Roman"/>
          <w:b w:val="false"/>
          <w:i w:val="false"/>
          <w:color w:val="000000"/>
          <w:sz w:val="22"/>
        </w:rPr>
        <w:t> </w:t>
      </w:r>
      <w:r>
        <w:rPr>
          <w:rFonts w:ascii="Times New Roman" w:hAnsi="Times New Roman"/>
          <w:b w:val="false"/>
          <w:i/>
          <w:color w:val="000000"/>
          <w:sz w:val="22"/>
        </w:rPr>
        <w:t xml:space="preserve">Information and verification procedure. </w:t>
      </w:r>
      <w:r>
        <w:rPr>
          <w:rFonts w:ascii="Times New Roman" w:hAnsi="Times New Roman"/>
          <w:b w:val="false"/>
          <w:i w:val="false"/>
          <w:color w:val="000000"/>
          <w:sz w:val="22"/>
        </w:rPr>
        <w:t>The eligibility decision will be based primarily on information furnished by the applicant, enrollee, or person acting on behalf of the applicant or enrollee and verified through electronic data matches whenever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enrollee, or person acting on behalf of the applicant or enrollee will be notified in writing of additional information or verification that is required to establish eligibility. The notice may be provided personally, by U.S. mail, by email, or by facsimile.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supply the information or verification or refusal to authorize the department to secure the information will be a basis for rejection of the application or cancellation of coverage. If the requested information or authorization is received within 14 calendar days of the notice of decision on an application or within 14 calendar days of the effective date of cancellation for enrollees, the information or authorization will be acted upon as though it had been provided timely. If the fourteenth calendar day falls on a weekend or state holiday, the applicant or enrollee shall have until the next business day to provide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enrollee, or person acting on behalf of the applicant or enrollee will have 10 working days to supply the information or verification requested. The due date may be extended for a reasonable period when the applicant, enrollee, or person acting on behalf of the applicant or enrollee is making every effort but is unable to secure the required information or verification from a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86.3(6)</w:t>
      </w:r>
      <w:r>
        <w:rPr>
          <w:rFonts w:ascii="Times New Roman" w:hAnsi="Times New Roman"/>
          <w:b w:val="false"/>
          <w:i w:val="false"/>
          <w:color w:val="000000"/>
          <w:sz w:val="22"/>
        </w:rPr>
        <w:t> </w:t>
      </w:r>
      <w:r>
        <w:rPr>
          <w:rFonts w:ascii="Times New Roman" w:hAnsi="Times New Roman"/>
          <w:b w:val="false"/>
          <w:i/>
          <w:color w:val="000000"/>
          <w:sz w:val="22"/>
        </w:rPr>
        <w:t xml:space="preserve">Time limit for decision. </w:t>
      </w:r>
      <w:r>
        <w:rPr>
          <w:rFonts w:ascii="Times New Roman" w:hAnsi="Times New Roman"/>
          <w:b w:val="false"/>
          <w:i w:val="false"/>
          <w:color w:val="000000"/>
          <w:sz w:val="22"/>
        </w:rPr>
        <w:t>Decisions regarding the applicant’s eligibility to participate in the hawki program will be made within 45 working days from the date of receiving the completed application and all necessary information and verification unless the application cannot be processed for reasons beyond the control of the department. Day one of the 45-day period starts the first working day following the date of receipt of a completed application and all necessary information and verification.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86.3(7)</w:t>
      </w:r>
      <w:r>
        <w:rPr>
          <w:rFonts w:ascii="Times New Roman" w:hAnsi="Times New Roman"/>
          <w:b w:val="false"/>
          <w:i w:val="false"/>
          <w:color w:val="000000"/>
          <w:sz w:val="22"/>
        </w:rPr>
        <w:t> </w:t>
      </w:r>
      <w:r>
        <w:rPr>
          <w:rFonts w:ascii="Times New Roman" w:hAnsi="Times New Roman"/>
          <w:b w:val="false"/>
          <w:i/>
          <w:color w:val="000000"/>
          <w:sz w:val="22"/>
        </w:rPr>
        <w:t xml:space="preserve">Applicant cooperation. </w:t>
      </w:r>
      <w:r>
        <w:rPr>
          <w:rFonts w:ascii="Times New Roman" w:hAnsi="Times New Roman"/>
          <w:b w:val="false"/>
          <w:i w:val="false"/>
          <w:color w:val="000000"/>
          <w:sz w:val="22"/>
        </w:rPr>
        <w:t>An applicant must cooperate with the department in the application process, which may include providing verification or signing documents. Failure to cooperate with the application process shall serve as basis for a denial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86.3(8)</w:t>
      </w:r>
      <w:r>
        <w:rPr>
          <w:rFonts w:ascii="Times New Roman" w:hAnsi="Times New Roman"/>
          <w:b w:val="false"/>
          <w:i w:val="false"/>
          <w:color w:val="000000"/>
          <w:sz w:val="22"/>
        </w:rPr>
        <w:t> </w:t>
      </w:r>
      <w:r>
        <w:rPr>
          <w:rFonts w:ascii="Times New Roman" w:hAnsi="Times New Roman"/>
          <w:b w:val="false"/>
          <w:i/>
          <w:color w:val="000000"/>
          <w:sz w:val="22"/>
        </w:rPr>
        <w:t xml:space="preserve">Waiting lists. </w:t>
      </w:r>
      <w:r>
        <w:rPr>
          <w:rFonts w:ascii="Times New Roman" w:hAnsi="Times New Roman"/>
          <w:b w:val="false"/>
          <w:i w:val="false"/>
          <w:color w:val="000000"/>
          <w:sz w:val="22"/>
        </w:rPr>
        <w:t>When the department has established that all  the funds appropriated for this program are obligated, all subsequent applications for hawki coverage will be denied unless Medicaid eligibility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mail a notice of decision to the applicant that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meets the eligibility requirements but that no funds are available and that the applicant will be placed on a waiting list,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does not meet eligibility requirements, in which case the applicant will not be put on a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 to an applicant’s being denied or placed on the waiting list, it must be established that the child is not eligible for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will be placed on the waiting list on the basis of the date an identifiable application form specified in rule </w:t>
      </w:r>
      <w:hyperlink r:id="rId22">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(249A)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event that more than one application is received on the same day, applicants will be placed on the waiting list on the basis of the day of the month of the oldest child’s birthday, the lowest number being first on the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subsequent ties will be determined by the month of birth of the oldest child, January being month one and the lowest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funds become available, applicants will be selected from the waiting list based on the order in which their names appear on the list and will be notified of their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After being notified of the availability of funding, the applicant shall have 15 working days to confirm the applicant’s continued interest in applying for the program and to provide any information necessary to establish eligibility. If the applicant does not confirm continued interest in applying for the program and does not provide any additional information necessary to establish eligibility within 15 working days, the applicant’s name will be deleted from the waiting list and the next applicant on the waiting list will be contacted.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441—86.4</w:t>
      </w:r>
      <w:r>
        <w:rPr>
          <w:rFonts w:ascii="Times New Roman" w:hAnsi="Times New Roman"/>
          <w:b/>
          <w:i w:val="false"/>
          <w:color w:val="000000"/>
          <w:sz w:val="22"/>
        </w:rPr>
        <w:t xml:space="preserve">(514I) </w:t>
      </w:r>
      <w:r>
        <w:rPr>
          <w:rFonts w:ascii="Times New Roman" w:hAnsi="Times New Roman"/>
          <w:b/>
          <w:i w:val="false"/>
          <w:color w:val="000000"/>
          <w:sz w:val="22"/>
        </w:rPr>
        <w:t xml:space="preserve">Coordination with Medicaid.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86.4(1)</w:t>
      </w:r>
      <w:r>
        <w:rPr>
          <w:rFonts w:ascii="Times New Roman" w:hAnsi="Times New Roman"/>
          <w:b w:val="false"/>
          <w:i w:val="false"/>
          <w:color w:val="000000"/>
          <w:sz w:val="22"/>
        </w:rPr>
        <w:t> </w:t>
      </w:r>
      <w:r>
        <w:rPr>
          <w:rFonts w:ascii="Times New Roman" w:hAnsi="Times New Roman"/>
          <w:b w:val="false"/>
          <w:i/>
          <w:color w:val="000000"/>
          <w:sz w:val="22"/>
        </w:rPr>
        <w:t xml:space="preserve">Hawki applicant eligible for Medicaid. </w:t>
      </w:r>
      <w:r>
        <w:rPr>
          <w:rFonts w:ascii="Times New Roman" w:hAnsi="Times New Roman"/>
          <w:b w:val="false"/>
          <w:i w:val="false"/>
          <w:color w:val="000000"/>
          <w:sz w:val="22"/>
        </w:rPr>
        <w:t xml:space="preserve">At the time of initial application, if it is determined the child is eligible for Medicaid in accordance with the provisions of rule </w:t>
      </w:r>
      <w:hyperlink r:id="rId23">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 xml:space="preserve">(249A), with the exception of meeting a spenddown under the medically needy program at </w:t>
      </w:r>
      <w:hyperlink r:id="rId24">
        <w:r>
          <w:rPr>
            <w:rStyle w:val="Hyperlink"/>
            <w:rFonts w:ascii="Times New Roman" w:hAnsi="Times New Roman"/>
            <w:b w:val="false"/>
            <w:i w:val="false"/>
            <w:color w:val="000000"/>
            <w:sz w:val="22"/>
          </w:rPr>
          <w:t>441—subrule 75.1(35)</w:t>
        </w:r>
      </w:hyperlink>
      <w:r>
        <w:rPr>
          <w:rFonts w:ascii="Times New Roman" w:hAnsi="Times New Roman"/>
          <w:b w:val="false"/>
          <w:i w:val="false"/>
          <w:color w:val="000000"/>
          <w:sz w:val="22"/>
        </w:rPr>
        <w:t>, the child will be enrolled in the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86.4(2)</w:t>
      </w:r>
      <w:r>
        <w:rPr>
          <w:rFonts w:ascii="Times New Roman" w:hAnsi="Times New Roman"/>
          <w:b w:val="false"/>
          <w:i w:val="false"/>
          <w:color w:val="000000"/>
          <w:sz w:val="22"/>
        </w:rPr>
        <w:t> </w:t>
      </w:r>
      <w:r>
        <w:rPr>
          <w:rFonts w:ascii="Times New Roman" w:hAnsi="Times New Roman"/>
          <w:b w:val="false"/>
          <w:i/>
          <w:color w:val="000000"/>
          <w:sz w:val="22"/>
        </w:rPr>
        <w:t xml:space="preserve">Hawki enrollee eligible for Medicaid. </w:t>
      </w:r>
      <w:r>
        <w:rPr>
          <w:rFonts w:ascii="Times New Roman" w:hAnsi="Times New Roman"/>
          <w:b w:val="false"/>
          <w:i w:val="false"/>
          <w:color w:val="000000"/>
          <w:sz w:val="22"/>
        </w:rPr>
        <w:t xml:space="preserve">At the time of the annual review, if the child is determined eligible for Medicaid in accordance with the provisions of rule </w:t>
      </w:r>
      <w:hyperlink r:id="rId25">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 xml:space="preserve">(249A), with the exception of meeting a spenddown under the medically needy program at </w:t>
      </w:r>
      <w:hyperlink r:id="rId26">
        <w:r>
          <w:rPr>
            <w:rStyle w:val="Hyperlink"/>
            <w:rFonts w:ascii="Times New Roman" w:hAnsi="Times New Roman"/>
            <w:b w:val="false"/>
            <w:i w:val="false"/>
            <w:color w:val="000000"/>
            <w:sz w:val="22"/>
          </w:rPr>
          <w:t>441—subrule 75.1(35)</w:t>
        </w:r>
      </w:hyperlink>
      <w:r>
        <w:rPr>
          <w:rFonts w:ascii="Times New Roman" w:hAnsi="Times New Roman"/>
          <w:b w:val="false"/>
          <w:i w:val="false"/>
          <w:color w:val="000000"/>
          <w:sz w:val="22"/>
        </w:rPr>
        <w:t>, the child will be enrolled in Medicaid effective the first day following the expiration of the 12-month hawki enrollment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86.4(3)</w:t>
      </w:r>
      <w:r>
        <w:rPr>
          <w:rFonts w:ascii="Times New Roman" w:hAnsi="Times New Roman"/>
          <w:b w:val="false"/>
          <w:i w:val="false"/>
          <w:color w:val="000000"/>
          <w:sz w:val="22"/>
        </w:rPr>
        <w:t> </w:t>
      </w:r>
      <w:r>
        <w:rPr>
          <w:rFonts w:ascii="Times New Roman" w:hAnsi="Times New Roman"/>
          <w:b w:val="false"/>
          <w:i/>
          <w:color w:val="000000"/>
          <w:sz w:val="22"/>
        </w:rPr>
        <w:t xml:space="preserve">Medicaid member becomes ineligible. </w:t>
      </w:r>
      <w:r>
        <w:rPr>
          <w:rFonts w:ascii="Times New Roman" w:hAnsi="Times New Roman"/>
          <w:b w:val="false"/>
          <w:i w:val="false"/>
          <w:color w:val="000000"/>
          <w:sz w:val="22"/>
        </w:rPr>
        <w:t xml:space="preserve">If a child becomes ineligible for Medicaid under the provisions of rule </w:t>
      </w:r>
      <w:hyperlink r:id="rId27">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 xml:space="preserve">(249A), with the exception of meeting a spend down under the medically needy program at </w:t>
      </w:r>
      <w:hyperlink r:id="rId28">
        <w:r>
          <w:rPr>
            <w:rStyle w:val="Hyperlink"/>
            <w:rFonts w:ascii="Times New Roman" w:hAnsi="Times New Roman"/>
            <w:b w:val="false"/>
            <w:i w:val="false"/>
            <w:color w:val="000000"/>
            <w:sz w:val="22"/>
          </w:rPr>
          <w:t>441—subrule 75.1(35)</w:t>
        </w:r>
      </w:hyperlink>
      <w:r>
        <w:rPr>
          <w:rFonts w:ascii="Times New Roman" w:hAnsi="Times New Roman"/>
          <w:b w:val="false"/>
          <w:i w:val="false"/>
          <w:color w:val="000000"/>
          <w:sz w:val="22"/>
        </w:rPr>
        <w:t>, the child will be enrolled in the hawki program if otherwise eligible.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441—86.5</w:t>
      </w:r>
      <w:r>
        <w:rPr>
          <w:rFonts w:ascii="Times New Roman" w:hAnsi="Times New Roman"/>
          <w:b/>
          <w:i w:val="false"/>
          <w:color w:val="000000"/>
          <w:sz w:val="22"/>
        </w:rPr>
        <w:t xml:space="preserve">(514I) </w:t>
      </w:r>
      <w:r>
        <w:rPr>
          <w:rFonts w:ascii="Times New Roman" w:hAnsi="Times New Roman"/>
          <w:b/>
          <w:i w:val="false"/>
          <w:color w:val="000000"/>
          <w:sz w:val="22"/>
        </w:rPr>
        <w:t xml:space="preserve">Effective date of coverage.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86.5(1)</w:t>
      </w:r>
      <w:r>
        <w:rPr>
          <w:rFonts w:ascii="Times New Roman" w:hAnsi="Times New Roman"/>
          <w:b w:val="false"/>
          <w:i w:val="false"/>
          <w:color w:val="000000"/>
          <w:sz w:val="22"/>
        </w:rPr>
        <w:t> </w:t>
      </w:r>
      <w:r>
        <w:rPr>
          <w:rFonts w:ascii="Times New Roman" w:hAnsi="Times New Roman"/>
          <w:b w:val="false"/>
          <w:i/>
          <w:color w:val="000000"/>
          <w:sz w:val="22"/>
        </w:rPr>
        <w:t xml:space="preserve">Initial application. </w:t>
      </w:r>
      <w:r>
        <w:rPr>
          <w:rFonts w:ascii="Times New Roman" w:hAnsi="Times New Roman"/>
          <w:b w:val="false"/>
          <w:i w:val="false"/>
          <w:color w:val="000000"/>
          <w:sz w:val="22"/>
        </w:rPr>
        <w:t xml:space="preserve">Coverage for a child who is determined eligible for the hawki program on the basis of an initial application for either hawki or Medicaid will be effective the first day of the month following the month in which the application is filed, regardless of the day of the month the application is filed. However, when the child does not meet the provisions of paragraph </w:t>
      </w:r>
      <w:hyperlink r:id="rId29">
        <w:r>
          <w:rPr>
            <w:rStyle w:val="Hyperlink"/>
            <w:rFonts w:ascii="Times New Roman" w:hAnsi="Times New Roman"/>
            <w:b w:val="false"/>
            <w:i w:val="false"/>
            <w:color w:val="000000"/>
            <w:sz w:val="22"/>
          </w:rPr>
          <w:t>86.2(4)</w:t>
        </w:r>
      </w:hyperlink>
      <w:r>
        <w:rPr>
          <w:rFonts w:ascii="Times New Roman" w:hAnsi="Times New Roman"/>
          <w:b w:val="false"/>
          <w:i/>
          <w:color w:val="000000"/>
          <w:sz w:val="22"/>
        </w:rPr>
        <w:t>“a,”</w:t>
      </w:r>
      <w:r>
        <w:rPr>
          <w:rFonts w:ascii="Times New Roman" w:hAnsi="Times New Roman"/>
          <w:b w:val="false"/>
          <w:i w:val="false"/>
          <w:color w:val="000000"/>
          <w:sz w:val="22"/>
        </w:rPr>
        <w:t xml:space="preserve"> coverage shall be effective the first day of the month following the month in which health insurance coverage is lost.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86.5(2)</w:t>
      </w:r>
      <w:r>
        <w:rPr>
          <w:rFonts w:ascii="Times New Roman" w:hAnsi="Times New Roman"/>
          <w:b w:val="false"/>
          <w:i w:val="false"/>
          <w:color w:val="000000"/>
          <w:sz w:val="22"/>
        </w:rPr>
        <w:t> </w:t>
      </w:r>
      <w:r>
        <w:rPr>
          <w:rFonts w:ascii="Times New Roman" w:hAnsi="Times New Roman"/>
          <w:b w:val="false"/>
          <w:i/>
          <w:color w:val="000000"/>
          <w:sz w:val="22"/>
        </w:rPr>
        <w:t xml:space="preserve">Referrals from Medicaid.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Cancellation of Medicaid. Coverage for children who are determined eligible for the hawki program due to cancellation of Medicaid benefits will be effective the first day of the month after Medicaid eligibility is lost in order to ensure that there is no break in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child lost Medicaid eligibility solely because of the loss of income disregards from the implementation of the modified adjusted gross income methodology, the child may be covered under the hawki program for up to 12 months following the loss of Medicaid eligibility, regardless of the presence of other health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86.5(3)</w:t>
      </w:r>
      <w:r>
        <w:rPr>
          <w:rFonts w:ascii="Times New Roman" w:hAnsi="Times New Roman"/>
          <w:b w:val="false"/>
          <w:i w:val="false"/>
          <w:color w:val="000000"/>
          <w:sz w:val="22"/>
        </w:rPr>
        <w:t> </w:t>
      </w:r>
      <w:r>
        <w:rPr>
          <w:rFonts w:ascii="Times New Roman" w:hAnsi="Times New Roman"/>
          <w:b w:val="false"/>
          <w:i/>
          <w:color w:val="000000"/>
          <w:sz w:val="22"/>
        </w:rPr>
        <w:t xml:space="preserve">Annual renewals. </w:t>
      </w:r>
      <w:r>
        <w:rPr>
          <w:rFonts w:ascii="Times New Roman" w:hAnsi="Times New Roman"/>
          <w:b w:val="false"/>
          <w:i w:val="false"/>
          <w:color w:val="000000"/>
          <w:sz w:val="22"/>
        </w:rPr>
        <w:t>Coverage for children who are determined eligible for the hawki program on the basis of an annual renewal will be effective the first day of the month following the month in which the previous enrollment period 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86.5(4)</w:t>
      </w:r>
      <w:r>
        <w:rPr>
          <w:rFonts w:ascii="Times New Roman" w:hAnsi="Times New Roman"/>
          <w:b w:val="false"/>
          <w:i w:val="false"/>
          <w:color w:val="000000"/>
          <w:sz w:val="22"/>
        </w:rPr>
        <w:t> </w:t>
      </w:r>
      <w:r>
        <w:rPr>
          <w:rFonts w:ascii="Times New Roman" w:hAnsi="Times New Roman"/>
          <w:b w:val="false"/>
          <w:i/>
          <w:color w:val="000000"/>
          <w:sz w:val="22"/>
        </w:rPr>
        <w:t xml:space="preserve">Children added to an existing hawki enrollment period. </w:t>
      </w:r>
      <w:r>
        <w:rPr>
          <w:rFonts w:ascii="Times New Roman" w:hAnsi="Times New Roman"/>
          <w:b w:val="false"/>
          <w:i w:val="false"/>
          <w:color w:val="000000"/>
          <w:sz w:val="22"/>
        </w:rPr>
        <w:t>Coverage for children who are determined eligible for the hawki program on the basis of a request from the family to add the child to an existing enrollment period will be effective the first day of the month following the month in which the request was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441—86.6</w:t>
      </w:r>
      <w:r>
        <w:rPr>
          <w:rFonts w:ascii="Times New Roman" w:hAnsi="Times New Roman"/>
          <w:b/>
          <w:i w:val="false"/>
          <w:color w:val="000000"/>
          <w:sz w:val="22"/>
        </w:rPr>
        <w:t xml:space="preserve">(514I) </w:t>
      </w:r>
      <w:r>
        <w:rPr>
          <w:rFonts w:ascii="Times New Roman" w:hAnsi="Times New Roman"/>
          <w:b/>
          <w:i w:val="false"/>
          <w:color w:val="000000"/>
          <w:sz w:val="22"/>
        </w:rPr>
        <w:t xml:space="preserve">Selection of a plan. </w:t>
      </w:r>
      <w:r>
        <w:rPr>
          <w:rFonts w:ascii="Times New Roman" w:hAnsi="Times New Roman"/>
          <w:b w:val="false"/>
          <w:i w:val="false"/>
          <w:color w:val="000000"/>
          <w:sz w:val="22"/>
        </w:rPr>
        <w:t xml:space="preserve">Upon the child’s eligibility effective date, the child will be assigned to a health or dental plan using the department’s passive enrollment process. The enrollee may change plans only at the time of the annual review unless the provisions of paragraph </w:t>
      </w:r>
      <w:hyperlink r:id="rId30">
        <w:r>
          <w:rPr>
            <w:rStyle w:val="Hyperlink"/>
            <w:rFonts w:ascii="Times New Roman" w:hAnsi="Times New Roman"/>
            <w:b w:val="false"/>
            <w:i w:val="false"/>
            <w:color w:val="000000"/>
            <w:sz w:val="22"/>
          </w:rPr>
          <w:t>86.6(1)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subrule </w:t>
      </w:r>
      <w:hyperlink r:id="rId31">
        <w:r>
          <w:rPr>
            <w:rStyle w:val="Hyperlink"/>
            <w:rFonts w:ascii="Times New Roman" w:hAnsi="Times New Roman"/>
            <w:b w:val="false"/>
            <w:i w:val="false"/>
            <w:color w:val="000000"/>
            <w:sz w:val="22"/>
          </w:rPr>
          <w:t>86.6(2)</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86.6(1)</w:t>
      </w:r>
      <w:r>
        <w:rPr>
          <w:rFonts w:ascii="Times New Roman" w:hAnsi="Times New Roman"/>
          <w:b w:val="false"/>
          <w:i w:val="false"/>
          <w:color w:val="000000"/>
          <w:sz w:val="22"/>
        </w:rPr>
        <w:t> </w:t>
      </w:r>
      <w:r>
        <w:rPr>
          <w:rFonts w:ascii="Times New Roman" w:hAnsi="Times New Roman"/>
          <w:b w:val="false"/>
          <w:i/>
          <w:color w:val="000000"/>
          <w:sz w:val="22"/>
        </w:rPr>
        <w:t xml:space="preserve">Period of enrollment. </w:t>
      </w:r>
      <w:r>
        <w:rPr>
          <w:rFonts w:ascii="Times New Roman" w:hAnsi="Times New Roman"/>
          <w:b w:val="false"/>
          <w:i w:val="false"/>
          <w:color w:val="000000"/>
          <w:sz w:val="22"/>
        </w:rPr>
        <w:t>Once enrolled in a health or dental plan, the child will remain enrolled in the health or dental plan for a period of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A child may be enrolled in a plan for less than 12 months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child is disenrolled in accordance with the provisions of rule </w:t>
      </w:r>
      <w:hyperlink r:id="rId32">
        <w:r>
          <w:rPr>
            <w:rStyle w:val="Hyperlink"/>
            <w:rFonts w:ascii="Times New Roman" w:hAnsi="Times New Roman"/>
            <w:b w:val="false"/>
            <w:i w:val="false"/>
            <w:color w:val="000000"/>
            <w:sz w:val="22"/>
          </w:rPr>
          <w:t>441—86.7</w:t>
        </w:r>
      </w:hyperlink>
      <w:r>
        <w:rPr>
          <w:rFonts w:ascii="Times New Roman" w:hAnsi="Times New Roman"/>
          <w:b w:val="false"/>
          <w:i w:val="false"/>
          <w:color w:val="000000"/>
          <w:sz w:val="22"/>
        </w:rPr>
        <w:t>(514I). If a child is disenrolled from the health or dental plan and subsequently reapplies before the end of the original 12-month enrollment period, the child will be enrolled in the health or dental plan from which the child was originally disenrolled.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child is added to an existing enrollment. When a family requests to add an eligible child, the child will be enrolled for the months remaining in the current enrollment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to change plans is accepted in accordance with paragraph </w:t>
      </w:r>
      <w:hyperlink r:id="rId33">
        <w:r>
          <w:rPr>
            <w:rStyle w:val="Hyperlink"/>
            <w:rFonts w:ascii="Times New Roman" w:hAnsi="Times New Roman"/>
            <w:b w:val="false"/>
            <w:i w:val="false"/>
            <w:color w:val="000000"/>
            <w:sz w:val="22"/>
          </w:rPr>
          <w:t>86.6(1)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Request to change plan. </w:t>
      </w:r>
      <w:r>
        <w:rPr>
          <w:rFonts w:ascii="Times New Roman" w:hAnsi="Times New Roman"/>
          <w:b w:val="false"/>
          <w:i w:val="false"/>
          <w:color w:val="000000"/>
          <w:sz w:val="22"/>
        </w:rPr>
        <w:t>An enrollee may ask to change the health or dental plan either verbally or in writing to the enrollment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Within 90 days following the date of the enrollee’s initial enrollment with the health or dental plan for any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At any time for cause. “Cause” as defined in </w:t>
      </w:r>
      <w:r>
        <w:rPr>
          <w:rFonts w:ascii="Times New Roman" w:hAnsi="Times New Roman"/>
          <w:b w:val="false"/>
          <w:i w:val="false"/>
          <w:color w:val="000000"/>
          <w:sz w:val="22"/>
        </w:rPr>
        <w:t>42 CFR 438.56(d)</w:t>
      </w:r>
      <w:r>
        <w:rPr>
          <w:rFonts w:ascii="Times New Roman" w:hAnsi="Times New Roman"/>
          <w:b w:val="false"/>
          <w:i w:val="false"/>
          <w:color w:val="000000"/>
          <w:sz w:val="22"/>
        </w:rPr>
        <w:t>(2) as amended to August 1, 2024,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enrollee moves out of the plan’s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Because of moral or religious objections, the plan does not cover the services the enrollee seeks.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enrollee needs related services (for example, a cesarean section and a tubal ligation) to be performed at the same time, not all related services are available within the network, and the enrollee’s primary care provider or another provider determines that receiving the services separately would subject the enrollee to unnecessary risk.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reasons including but not limited to poor quality of care, lack of access to services covered under the contract, or lack of access to providers experienced in dealing with the enrollee’s health care needs.</w:t>
      </w:r>
    </w:p>
    <w:p>
      <w:pPr>
        <w:spacing w:before="0" w:after="0"/>
        <w:ind w:left="120"/>
        <w:jc w:val="both"/>
      </w:pPr>
      <w:r>
        <w:rPr>
          <w:rFonts w:ascii="Times New Roman" w:hAnsi="Times New Roman"/>
          <w:b w:val="false"/>
          <w:i w:val="false"/>
          <w:color w:val="000000"/>
          <w:sz w:val="22"/>
        </w:rPr>
        <w:t>All approved changes shall be made prospectively and shall be effective no later than the first day of the second month beginning after the date on which the change request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86.6(2)</w:t>
      </w:r>
      <w:r>
        <w:rPr>
          <w:rFonts w:ascii="Times New Roman" w:hAnsi="Times New Roman"/>
          <w:b w:val="false"/>
          <w:i w:val="false"/>
          <w:color w:val="000000"/>
          <w:sz w:val="22"/>
        </w:rPr>
        <w:t> </w:t>
      </w:r>
      <w:r>
        <w:rPr>
          <w:rFonts w:ascii="Times New Roman" w:hAnsi="Times New Roman"/>
          <w:b w:val="false"/>
          <w:i/>
          <w:color w:val="000000"/>
          <w:sz w:val="22"/>
        </w:rPr>
        <w:t xml:space="preserve">Child moves from the service area. </w:t>
      </w:r>
      <w:r>
        <w:rPr>
          <w:rFonts w:ascii="Times New Roman" w:hAnsi="Times New Roman"/>
          <w:b w:val="false"/>
          <w:i w:val="false"/>
          <w:color w:val="000000"/>
          <w:sz w:val="22"/>
        </w:rPr>
        <w:t>The child may be disenrolled from the health or dental plan when the child moves to an area of the state in which the health or dental plan does not have a provider network established. If the child is disenrolled, the child will be enrolled in a participating health or dental plan in the new location. The period of enrollment will be the number of months remaining in the original certification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86.6(3)</w:t>
      </w:r>
      <w:r>
        <w:rPr>
          <w:rFonts w:ascii="Times New Roman" w:hAnsi="Times New Roman"/>
          <w:b w:val="false"/>
          <w:i w:val="false"/>
          <w:color w:val="000000"/>
          <w:sz w:val="22"/>
        </w:rPr>
        <w:t> </w:t>
      </w:r>
      <w:r>
        <w:rPr>
          <w:rFonts w:ascii="Times New Roman" w:hAnsi="Times New Roman"/>
          <w:b w:val="false"/>
          <w:i/>
          <w:color w:val="000000"/>
          <w:sz w:val="22"/>
        </w:rPr>
        <w:t xml:space="preserve">Change at annual review. </w:t>
      </w:r>
      <w:r>
        <w:rPr>
          <w:rFonts w:ascii="Times New Roman" w:hAnsi="Times New Roman"/>
          <w:b w:val="false"/>
          <w:i w:val="false"/>
          <w:color w:val="000000"/>
          <w:sz w:val="22"/>
        </w:rPr>
        <w:t>If more than one health or dental plan is available at the time of the annual review of eligibility, the family may designate another plan either verbally or in writing to the enrollment broker. The child will remain enrolled in the current health or dental plan if the family does not notify the enrollment broker of a new health or dental plan choice by the end of the current 12-month enrollment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441—86.7</w:t>
      </w:r>
      <w:r>
        <w:rPr>
          <w:rFonts w:ascii="Times New Roman" w:hAnsi="Times New Roman"/>
          <w:b/>
          <w:i w:val="false"/>
          <w:color w:val="000000"/>
          <w:sz w:val="22"/>
        </w:rPr>
        <w:t xml:space="preserve">(514I) </w:t>
      </w:r>
      <w:r>
        <w:rPr>
          <w:rFonts w:ascii="Times New Roman" w:hAnsi="Times New Roman"/>
          <w:b/>
          <w:i w:val="false"/>
          <w:color w:val="000000"/>
          <w:sz w:val="22"/>
        </w:rPr>
        <w:t xml:space="preserve">Cancellation. </w:t>
      </w:r>
      <w:r>
        <w:rPr>
          <w:rFonts w:ascii="Times New Roman" w:hAnsi="Times New Roman"/>
          <w:b w:val="false"/>
          <w:i w:val="false"/>
          <w:color w:val="000000"/>
          <w:sz w:val="22"/>
        </w:rPr>
        <w:t>The child’s eligibility for the hawki program shall be canceled before the end of the 12-month enrollment period for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86.7(1)</w:t>
      </w:r>
      <w:r>
        <w:rPr>
          <w:rFonts w:ascii="Times New Roman" w:hAnsi="Times New Roman"/>
          <w:b w:val="false"/>
          <w:i w:val="false"/>
          <w:color w:val="000000"/>
          <w:sz w:val="22"/>
        </w:rPr>
        <w:t> </w:t>
      </w:r>
      <w:r>
        <w:rPr>
          <w:rFonts w:ascii="Times New Roman" w:hAnsi="Times New Roman"/>
          <w:b w:val="false"/>
          <w:i/>
          <w:color w:val="000000"/>
          <w:sz w:val="22"/>
        </w:rPr>
        <w:t xml:space="preserve">Age. </w:t>
      </w:r>
      <w:r>
        <w:rPr>
          <w:rFonts w:ascii="Times New Roman" w:hAnsi="Times New Roman"/>
          <w:b w:val="false"/>
          <w:i w:val="false"/>
          <w:color w:val="000000"/>
          <w:sz w:val="22"/>
        </w:rPr>
        <w:t>The child shall be canceled from the hawki program as of the first day of the month following the month in which the child attained the age of 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86.7(2)</w:t>
      </w:r>
      <w:r>
        <w:rPr>
          <w:rFonts w:ascii="Times New Roman" w:hAnsi="Times New Roman"/>
          <w:b w:val="false"/>
          <w:i w:val="false"/>
          <w:color w:val="000000"/>
          <w:sz w:val="22"/>
        </w:rPr>
        <w:t> </w:t>
      </w:r>
      <w:r>
        <w:rPr>
          <w:rFonts w:ascii="Times New Roman" w:hAnsi="Times New Roman"/>
          <w:b w:val="false"/>
          <w:i/>
          <w:color w:val="000000"/>
          <w:sz w:val="22"/>
        </w:rPr>
        <w:t xml:space="preserve">Iowa residence abandoned. </w:t>
      </w:r>
      <w:r>
        <w:rPr>
          <w:rFonts w:ascii="Times New Roman" w:hAnsi="Times New Roman"/>
          <w:b w:val="false"/>
          <w:i w:val="false"/>
          <w:color w:val="000000"/>
          <w:sz w:val="22"/>
        </w:rPr>
        <w:t xml:space="preserve">The child shall be canceled from the program as of the first day of the month following the month in which the child relocated to another state. Eligibility shall not be canceled when the child is temporarily absent from the state in accordance with the provisions of </w:t>
      </w:r>
      <w:hyperlink r:id="rId34">
        <w:r>
          <w:rPr>
            <w:rStyle w:val="Hyperlink"/>
            <w:rFonts w:ascii="Times New Roman" w:hAnsi="Times New Roman"/>
            <w:b w:val="false"/>
            <w:i w:val="false"/>
            <w:color w:val="000000"/>
            <w:sz w:val="22"/>
          </w:rPr>
          <w:t>441—subrule 75.10(2)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86.7(3)</w:t>
      </w:r>
      <w:r>
        <w:rPr>
          <w:rFonts w:ascii="Times New Roman" w:hAnsi="Times New Roman"/>
          <w:b w:val="false"/>
          <w:i w:val="false"/>
          <w:color w:val="000000"/>
          <w:sz w:val="22"/>
        </w:rPr>
        <w:t> </w:t>
      </w:r>
      <w:r>
        <w:rPr>
          <w:rFonts w:ascii="Times New Roman" w:hAnsi="Times New Roman"/>
          <w:b w:val="false"/>
          <w:i/>
          <w:color w:val="000000"/>
          <w:sz w:val="22"/>
        </w:rPr>
        <w:t xml:space="preserve">Eligible for Medicaid. </w:t>
      </w:r>
      <w:r>
        <w:rPr>
          <w:rFonts w:ascii="Times New Roman" w:hAnsi="Times New Roman"/>
          <w:b w:val="false"/>
          <w:i w:val="false"/>
          <w:color w:val="000000"/>
          <w:sz w:val="22"/>
        </w:rPr>
        <w:t>The child shall be canceled from the program as of the first day of the month following the month in which Medicaid eligibility is obtained. If there are months during which the child is covered by both the Medicaid and hawki programs, the hawki program shall be the primary payor and Medicaid shall be the payor of last resort.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86.7(4)</w:t>
      </w:r>
      <w:r>
        <w:rPr>
          <w:rFonts w:ascii="Times New Roman" w:hAnsi="Times New Roman"/>
          <w:b w:val="false"/>
          <w:i w:val="false"/>
          <w:color w:val="000000"/>
          <w:sz w:val="22"/>
        </w:rPr>
        <w:t> </w:t>
      </w:r>
      <w:r>
        <w:rPr>
          <w:rFonts w:ascii="Times New Roman" w:hAnsi="Times New Roman"/>
          <w:b w:val="false"/>
          <w:i/>
          <w:color w:val="000000"/>
          <w:sz w:val="22"/>
        </w:rPr>
        <w:t xml:space="preserve">Enrolled in other health insurance coverage. </w:t>
      </w:r>
      <w:r>
        <w:rPr>
          <w:rFonts w:ascii="Times New Roman" w:hAnsi="Times New Roman"/>
          <w:b w:val="false"/>
          <w:i w:val="false"/>
          <w:color w:val="000000"/>
          <w:sz w:val="22"/>
        </w:rPr>
        <w:t>The child shall be canceled from the program as of the first day of the month following the month in which the department is notified that the child has other health insurance coverage. If there are months during which the child is covered by both another insurance plan and the hawki program, the other insurance plan shall be the primary payor and hawki shall be the payor of last resort.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86.7(5)</w:t>
      </w:r>
      <w:r>
        <w:rPr>
          <w:rFonts w:ascii="Times New Roman" w:hAnsi="Times New Roman"/>
          <w:b w:val="false"/>
          <w:i w:val="false"/>
          <w:color w:val="000000"/>
          <w:sz w:val="22"/>
        </w:rPr>
        <w:t> </w:t>
      </w:r>
      <w:r>
        <w:rPr>
          <w:rFonts w:ascii="Times New Roman" w:hAnsi="Times New Roman"/>
          <w:b w:val="false"/>
          <w:i/>
          <w:color w:val="000000"/>
          <w:sz w:val="22"/>
        </w:rPr>
        <w:t xml:space="preserve">Admission to a public institution. </w:t>
      </w:r>
      <w:r>
        <w:rPr>
          <w:rFonts w:ascii="Times New Roman" w:hAnsi="Times New Roman"/>
          <w:b w:val="false"/>
          <w:i w:val="false"/>
          <w:color w:val="000000"/>
          <w:sz w:val="22"/>
        </w:rPr>
        <w:t>The child shall be canceled from the program if the child is in a public institution at the time of the annual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86.7(6)</w:t>
      </w:r>
      <w:r>
        <w:rPr>
          <w:rFonts w:ascii="Times New Roman" w:hAnsi="Times New Roman"/>
          <w:b w:val="false"/>
          <w:i w:val="false"/>
          <w:color w:val="000000"/>
          <w:sz w:val="22"/>
        </w:rPr>
        <w:t> </w:t>
      </w:r>
      <w:r>
        <w:rPr>
          <w:rFonts w:ascii="Times New Roman" w:hAnsi="Times New Roman"/>
          <w:b w:val="false"/>
          <w:i/>
          <w:color w:val="000000"/>
          <w:sz w:val="22"/>
        </w:rPr>
        <w:t xml:space="preserve">Admission to an institution for mental disease. </w:t>
      </w:r>
      <w:r>
        <w:rPr>
          <w:rFonts w:ascii="Times New Roman" w:hAnsi="Times New Roman"/>
          <w:b w:val="false"/>
          <w:i w:val="false"/>
          <w:color w:val="000000"/>
          <w:sz w:val="22"/>
        </w:rPr>
        <w:t>The child shall be canceled from the program if the child is a patient in an institution for mental disease at the time of annual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86.7(7)</w:t>
      </w:r>
      <w:r>
        <w:rPr>
          <w:rFonts w:ascii="Times New Roman" w:hAnsi="Times New Roman"/>
          <w:b w:val="false"/>
          <w:i w:val="false"/>
          <w:color w:val="000000"/>
          <w:sz w:val="22"/>
        </w:rPr>
        <w:t> </w:t>
      </w:r>
      <w:r>
        <w:rPr>
          <w:rFonts w:ascii="Times New Roman" w:hAnsi="Times New Roman"/>
          <w:b w:val="false"/>
          <w:i/>
          <w:color w:val="000000"/>
          <w:sz w:val="22"/>
        </w:rPr>
        <w:t xml:space="preserve">Employment with the state of Iowa. </w:t>
      </w:r>
      <w:r>
        <w:rPr>
          <w:rFonts w:ascii="Times New Roman" w:hAnsi="Times New Roman"/>
          <w:b w:val="false"/>
          <w:i w:val="false"/>
          <w:color w:val="000000"/>
          <w:sz w:val="22"/>
        </w:rPr>
        <w:t>The child shall be canceled from the hawki program as of the first day of the month in which the child’s parent became eligible to participate in a health or dental plan available to state of Iowa employees.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441—86.8</w:t>
      </w:r>
      <w:r>
        <w:rPr>
          <w:rFonts w:ascii="Times New Roman" w:hAnsi="Times New Roman"/>
          <w:b/>
          <w:i w:val="false"/>
          <w:color w:val="000000"/>
          <w:sz w:val="22"/>
        </w:rPr>
        <w:t xml:space="preserve">(514I) </w:t>
      </w:r>
      <w:r>
        <w:rPr>
          <w:rFonts w:ascii="Times New Roman" w:hAnsi="Times New Roman"/>
          <w:b/>
          <w:i w:val="false"/>
          <w:color w:val="000000"/>
          <w:sz w:val="22"/>
        </w:rPr>
        <w:t xml:space="preserve">Premiums and copayments.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86.8(1)</w:t>
      </w:r>
      <w:r>
        <w:rPr>
          <w:rFonts w:ascii="Times New Roman" w:hAnsi="Times New Roman"/>
          <w:b w:val="false"/>
          <w:i w:val="false"/>
          <w:color w:val="000000"/>
          <w:sz w:val="22"/>
        </w:rPr>
        <w:t> </w:t>
      </w:r>
      <w:r>
        <w:rPr>
          <w:rFonts w:ascii="Times New Roman" w:hAnsi="Times New Roman"/>
          <w:b w:val="false"/>
          <w:i/>
          <w:color w:val="000000"/>
          <w:sz w:val="22"/>
        </w:rPr>
        <w:t xml:space="preserve">Income considered. </w:t>
      </w:r>
      <w:r>
        <w:rPr>
          <w:rFonts w:ascii="Times New Roman" w:hAnsi="Times New Roman"/>
          <w:b w:val="false"/>
          <w:i w:val="false"/>
          <w:color w:val="000000"/>
          <w:sz w:val="22"/>
        </w:rPr>
        <w:t>The income considered in determining the premium amount will be the family’s countable income using the modified adjusted gross income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86.8(2)</w:t>
      </w:r>
      <w:r>
        <w:rPr>
          <w:rFonts w:ascii="Times New Roman" w:hAnsi="Times New Roman"/>
          <w:b w:val="false"/>
          <w:i w:val="false"/>
          <w:color w:val="000000"/>
          <w:sz w:val="22"/>
        </w:rPr>
        <w:t> </w:t>
      </w:r>
      <w:r>
        <w:rPr>
          <w:rFonts w:ascii="Times New Roman" w:hAnsi="Times New Roman"/>
          <w:b w:val="false"/>
          <w:i/>
          <w:color w:val="000000"/>
          <w:sz w:val="22"/>
        </w:rPr>
        <w:t xml:space="preserve">Premium amount. </w:t>
      </w:r>
      <w:r>
        <w:rPr>
          <w:rFonts w:ascii="Times New Roman" w:hAnsi="Times New Roman"/>
          <w:b w:val="false"/>
          <w:i w:val="false"/>
          <w:color w:val="000000"/>
          <w:sz w:val="22"/>
        </w:rPr>
        <w:t xml:space="preserve">Except as specified for supplemental dental-only coverage in subrule </w:t>
      </w:r>
      <w:hyperlink r:id="rId35">
        <w:r>
          <w:rPr>
            <w:rStyle w:val="Hyperlink"/>
            <w:rFonts w:ascii="Times New Roman" w:hAnsi="Times New Roman"/>
            <w:b w:val="false"/>
            <w:i w:val="false"/>
            <w:color w:val="000000"/>
            <w:sz w:val="22"/>
          </w:rPr>
          <w:t>86.20(3)</w:t>
        </w:r>
      </w:hyperlink>
      <w:r>
        <w:rPr>
          <w:rFonts w:ascii="Times New Roman" w:hAnsi="Times New Roman"/>
          <w:b w:val="false"/>
          <w:i w:val="false"/>
          <w:color w:val="000000"/>
          <w:sz w:val="22"/>
        </w:rPr>
        <w:t>, premiums under the hawki program will be assessed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premium is charged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eligible child is an American Indian or Alaska Native;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family’s countable income is less than 181 percent of the federal poverty level for a family of the same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family’s countable income is equal to or exceeds 181 percent of the federal poverty level for a family of the same size but does not exceed 242 percent of the federal poverty level for a family of that size, the premium is $10 per child per month with a $20 monthly maximum per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family’s countable income is equal to or exceeds 243 percent of the federal poverty level for a family of the same size, the premium is $20 per child per month with a $40 monthly maximum per family.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86.8(3)</w:t>
      </w:r>
      <w:r>
        <w:rPr>
          <w:rFonts w:ascii="Times New Roman" w:hAnsi="Times New Roman"/>
          <w:b w:val="false"/>
          <w:i w:val="false"/>
          <w:color w:val="000000"/>
          <w:sz w:val="22"/>
        </w:rPr>
        <w:t> </w:t>
      </w:r>
      <w:r>
        <w:rPr>
          <w:rFonts w:ascii="Times New Roman" w:hAnsi="Times New Roman"/>
          <w:b w:val="false"/>
          <w:i/>
          <w:color w:val="000000"/>
          <w:sz w:val="22"/>
        </w:rPr>
        <w:t xml:space="preserve">Due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Payment upon initial application. </w:t>
      </w:r>
      <w:r>
        <w:rPr>
          <w:rFonts w:ascii="Times New Roman" w:hAnsi="Times New Roman"/>
          <w:b w:val="false"/>
          <w:i w:val="false"/>
          <w:color w:val="000000"/>
          <w:sz w:val="22"/>
        </w:rPr>
        <w:t>Upon approval of an initial application, the first month for which a premium is due is the third month following the month of decision. The due date of the first premium shall be the fifth day of the second month following the month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Payment upon renewal.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approval of a renewal, the first month for which a premium is due is the first month of the enrollment period. The premium for the first month of the enrollment period shall be due by the fifth day of the month before the month of coverage or the tenth business day following the date of decision,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premium is received, the department will notify the health and dental plans of the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Subsequent payments. </w:t>
      </w:r>
      <w:r>
        <w:rPr>
          <w:rFonts w:ascii="Times New Roman" w:hAnsi="Times New Roman"/>
          <w:b w:val="false"/>
          <w:i w:val="false"/>
          <w:color w:val="000000"/>
          <w:sz w:val="22"/>
        </w:rPr>
        <w:t>All subsequent premiums are due by the fifth day of each month for the next month’s coverage. Premiums may be paid in advance (e.g., on a quarterly or semiannual basis) rather than a monthly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Holiday or weekend. </w:t>
      </w:r>
      <w:r>
        <w:rPr>
          <w:rFonts w:ascii="Times New Roman" w:hAnsi="Times New Roman"/>
          <w:b w:val="false"/>
          <w:i w:val="false"/>
          <w:color w:val="000000"/>
          <w:sz w:val="22"/>
        </w:rPr>
        <w:t>When the premium due date falls on a holiday or weekend, the premium shall be due on the first business day following the due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86.8(4)</w:t>
      </w:r>
      <w:r>
        <w:rPr>
          <w:rFonts w:ascii="Times New Roman" w:hAnsi="Times New Roman"/>
          <w:b w:val="false"/>
          <w:i w:val="false"/>
          <w:color w:val="000000"/>
          <w:sz w:val="22"/>
        </w:rPr>
        <w:t> </w:t>
      </w:r>
      <w:r>
        <w:rPr>
          <w:rFonts w:ascii="Times New Roman" w:hAnsi="Times New Roman"/>
          <w:b w:val="false"/>
          <w:i/>
          <w:color w:val="000000"/>
          <w:sz w:val="22"/>
        </w:rPr>
        <w:t xml:space="preserve">Method of premium payment. </w:t>
      </w:r>
      <w:r>
        <w:rPr>
          <w:rFonts w:ascii="Times New Roman" w:hAnsi="Times New Roman"/>
          <w:b w:val="false"/>
          <w:i w:val="false"/>
          <w:color w:val="000000"/>
          <w:sz w:val="22"/>
        </w:rPr>
        <w:t>Premiums may be submitted in the form of cash, personal checks, electronic funds transfers (EFT), or other methods established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86.8(5)</w:t>
      </w:r>
      <w:r>
        <w:rPr>
          <w:rFonts w:ascii="Times New Roman" w:hAnsi="Times New Roman"/>
          <w:b w:val="false"/>
          <w:i w:val="false"/>
          <w:color w:val="000000"/>
          <w:sz w:val="22"/>
        </w:rPr>
        <w:t> </w:t>
      </w:r>
      <w:r>
        <w:rPr>
          <w:rFonts w:ascii="Times New Roman" w:hAnsi="Times New Roman"/>
          <w:b w:val="false"/>
          <w:i/>
          <w:color w:val="000000"/>
          <w:sz w:val="22"/>
        </w:rPr>
        <w:t xml:space="preserve">Copayment. </w:t>
      </w:r>
      <w:r>
        <w:rPr>
          <w:rFonts w:ascii="Times New Roman" w:hAnsi="Times New Roman"/>
          <w:b w:val="false"/>
          <w:i w:val="false"/>
          <w:color w:val="000000"/>
          <w:sz w:val="22"/>
        </w:rPr>
        <w:t>There will be a $25 copayment for each emergency room visit if the child’s medical condition does not meet the definition of emergency medical condition. A copayment will not be imposed when family income is less than 181 percent of the federal poverty level for a family of the same size or when the child is an eligible American Indian or Alaska Native.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 xml:space="preserve">; </w:t>
      </w:r>
      <w:r>
        <w:rPr>
          <w:rFonts w:ascii="Times New Roman" w:hAnsi="Times New Roman"/>
          <w:b/>
          <w:i w:val="false"/>
          <w:color w:val="000000"/>
          <w:sz w:val="16"/>
        </w:rPr>
        <w:t>ARC 9952C</w:t>
      </w:r>
      <w:r>
        <w:rPr>
          <w:rFonts w:ascii="Times New Roman" w:hAnsi="Times New Roman"/>
          <w:b w:val="false"/>
          <w:i w:val="false"/>
          <w:color w:val="000000"/>
          <w:sz w:val="16"/>
        </w:rPr>
        <w:t>, IAB 1/7/26, effective 3/1/26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441—86.9</w:t>
      </w:r>
      <w:r>
        <w:rPr>
          <w:rFonts w:ascii="Times New Roman" w:hAnsi="Times New Roman"/>
          <w:b/>
          <w:i w:val="false"/>
          <w:color w:val="000000"/>
          <w:sz w:val="22"/>
        </w:rPr>
        <w:t xml:space="preserve">(514I) </w:t>
      </w:r>
      <w:r>
        <w:rPr>
          <w:rFonts w:ascii="Times New Roman" w:hAnsi="Times New Roman"/>
          <w:b/>
          <w:i w:val="false"/>
          <w:color w:val="000000"/>
          <w:sz w:val="22"/>
        </w:rPr>
        <w:t xml:space="preserve">Annual reviews of eligibility. </w:t>
      </w:r>
      <w:r>
        <w:rPr>
          <w:rFonts w:ascii="Times New Roman" w:hAnsi="Times New Roman"/>
          <w:b w:val="false"/>
          <w:i w:val="false"/>
          <w:color w:val="000000"/>
          <w:sz w:val="22"/>
        </w:rPr>
        <w:t>All eligibility factors will be reviewed at least every 12 months to establish ongoing eligibility for the program. “Month one” will be the first month in which coverage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86.9(1)</w:t>
      </w:r>
      <w:r>
        <w:rPr>
          <w:rFonts w:ascii="Times New Roman" w:hAnsi="Times New Roman"/>
          <w:b w:val="false"/>
          <w:i w:val="false"/>
          <w:color w:val="000000"/>
          <w:sz w:val="22"/>
        </w:rPr>
        <w:t> </w:t>
      </w:r>
      <w:r>
        <w:rPr>
          <w:rFonts w:ascii="Times New Roman" w:hAnsi="Times New Roman"/>
          <w:b w:val="false"/>
          <w:i/>
          <w:color w:val="000000"/>
          <w:sz w:val="22"/>
        </w:rPr>
        <w:t xml:space="preserve">Review form. </w:t>
      </w:r>
      <w:r>
        <w:rPr>
          <w:rFonts w:ascii="Times New Roman" w:hAnsi="Times New Roman"/>
          <w:b w:val="false"/>
          <w:i w:val="false"/>
          <w:color w:val="000000"/>
          <w:sz w:val="22"/>
        </w:rPr>
        <w:t>The department will send the family a prepopulated review form on which the answers, except for income, have been completed based on the information on file. The family shall review the completed information for accuracy and fill in the income section of the form. If family income cannot be verified through electronic data matches, the family shall be required to provide verification of current income. The family shall sign and date the form attesting to its accuracy as part of the review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86.9(2)</w:t>
      </w:r>
      <w:r>
        <w:rPr>
          <w:rFonts w:ascii="Times New Roman" w:hAnsi="Times New Roman"/>
          <w:b w:val="false"/>
          <w:i w:val="false"/>
          <w:color w:val="000000"/>
          <w:sz w:val="22"/>
        </w:rPr>
        <w:t> </w:t>
      </w:r>
      <w:r>
        <w:rPr>
          <w:rFonts w:ascii="Times New Roman" w:hAnsi="Times New Roman"/>
          <w:b w:val="false"/>
          <w:i/>
          <w:color w:val="000000"/>
          <w:sz w:val="22"/>
        </w:rPr>
        <w:t xml:space="preserve">Failure to provide information. </w:t>
      </w:r>
      <w:r>
        <w:rPr>
          <w:rFonts w:ascii="Times New Roman" w:hAnsi="Times New Roman"/>
          <w:b w:val="false"/>
          <w:i w:val="false"/>
          <w:color w:val="000000"/>
          <w:sz w:val="22"/>
        </w:rPr>
        <w:t>The child shall not be enrolled for the next 12-month period if the family fails to provide information and verification of income or otherwise fails to cooperate in the annual review process. If the completed review form and any information necessary to establish continued eligibility are received within 14 calendar days of the end of an enrollment period, the review form and information will be acted upon as though they had been received timely. If the fourteenth calendar day falls on a weekend or state holiday, the enrollee shall have until the next business day to provide the review form and any information necessary to establish continued eligibility.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441—86.10</w:t>
      </w:r>
      <w:r>
        <w:rPr>
          <w:rFonts w:ascii="Times New Roman" w:hAnsi="Times New Roman"/>
          <w:b/>
          <w:i w:val="false"/>
          <w:color w:val="000000"/>
          <w:sz w:val="22"/>
        </w:rPr>
        <w:t xml:space="preserve">(514I) </w:t>
      </w:r>
      <w:r>
        <w:rPr>
          <w:rFonts w:ascii="Times New Roman" w:hAnsi="Times New Roman"/>
          <w:b/>
          <w:i w:val="false"/>
          <w:color w:val="000000"/>
          <w:sz w:val="22"/>
        </w:rPr>
        <w:t xml:space="preserve">Reporting changes. </w:t>
      </w:r>
      <w:r>
        <w:rPr>
          <w:rFonts w:ascii="Times New Roman" w:hAnsi="Times New Roman"/>
          <w:b w:val="false"/>
          <w:i w:val="false"/>
          <w:color w:val="000000"/>
          <w:sz w:val="22"/>
        </w:rPr>
        <w:t>Changes that may affect eligibility shall be reported timely to the department. “Timely” shall mean no later than ten working days after the change occurred. The ten working-day period begins the first working day following the date of the change. The parent, guardian, or other adult responsible for the child shall report the change unless the child is emancipated, married, or otherwise in an independent living situation, in which case the child shall be responsible for reporting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86.10(1)</w:t>
      </w:r>
      <w:r>
        <w:rPr>
          <w:rFonts w:ascii="Times New Roman" w:hAnsi="Times New Roman"/>
          <w:b w:val="false"/>
          <w:i w:val="false"/>
          <w:color w:val="000000"/>
          <w:sz w:val="22"/>
        </w:rPr>
        <w:t> </w:t>
      </w:r>
      <w:r>
        <w:rPr>
          <w:rFonts w:ascii="Times New Roman" w:hAnsi="Times New Roman"/>
          <w:b w:val="false"/>
          <w:i/>
          <w:color w:val="000000"/>
          <w:sz w:val="22"/>
        </w:rPr>
        <w:t xml:space="preserve">Iowa residence is abandoned. </w:t>
      </w:r>
      <w:r>
        <w:rPr>
          <w:rFonts w:ascii="Times New Roman" w:hAnsi="Times New Roman"/>
          <w:b w:val="false"/>
          <w:i w:val="false"/>
          <w:color w:val="000000"/>
          <w:sz w:val="22"/>
        </w:rPr>
        <w:t>The abandonment of Iowa residence shall be reported following the move from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86.10(2)</w:t>
      </w:r>
      <w:r>
        <w:rPr>
          <w:rFonts w:ascii="Times New Roman" w:hAnsi="Times New Roman"/>
          <w:b w:val="false"/>
          <w:i w:val="false"/>
          <w:color w:val="000000"/>
          <w:sz w:val="22"/>
        </w:rPr>
        <w:t> </w:t>
      </w:r>
      <w:r>
        <w:rPr>
          <w:rFonts w:ascii="Times New Roman" w:hAnsi="Times New Roman"/>
          <w:b w:val="false"/>
          <w:i/>
          <w:color w:val="000000"/>
          <w:sz w:val="22"/>
        </w:rPr>
        <w:t xml:space="preserve">Other insurance coverage. </w:t>
      </w:r>
      <w:r>
        <w:rPr>
          <w:rFonts w:ascii="Times New Roman" w:hAnsi="Times New Roman"/>
          <w:b w:val="false"/>
          <w:i w:val="false"/>
          <w:color w:val="000000"/>
          <w:sz w:val="22"/>
        </w:rPr>
        <w:t>Enrollment of the child in other health insurance coverage shall be reported.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86.10(3)</w:t>
      </w:r>
      <w:r>
        <w:rPr>
          <w:rFonts w:ascii="Times New Roman" w:hAnsi="Times New Roman"/>
          <w:b w:val="false"/>
          <w:i w:val="false"/>
          <w:color w:val="000000"/>
          <w:sz w:val="22"/>
        </w:rPr>
        <w:t> </w:t>
      </w:r>
      <w:r>
        <w:rPr>
          <w:rFonts w:ascii="Times New Roman" w:hAnsi="Times New Roman"/>
          <w:b w:val="false"/>
          <w:i/>
          <w:color w:val="000000"/>
          <w:sz w:val="22"/>
        </w:rPr>
        <w:t xml:space="preserve">Decrease in income. </w:t>
      </w:r>
      <w:r>
        <w:rPr>
          <w:rFonts w:ascii="Times New Roman" w:hAnsi="Times New Roman"/>
          <w:b w:val="false"/>
          <w:i w:val="false"/>
          <w:color w:val="000000"/>
          <w:sz w:val="22"/>
        </w:rPr>
        <w:t xml:space="preserve">If the family reports a decrease in income, the department will ascertain whether the change affects the premium obligation of the family. If the change is such that the family is no longer required to pay a premium in accordance with the provisions of rule </w:t>
      </w:r>
      <w:hyperlink r:id="rId36">
        <w:r>
          <w:rPr>
            <w:rStyle w:val="Hyperlink"/>
            <w:rFonts w:ascii="Times New Roman" w:hAnsi="Times New Roman"/>
            <w:b w:val="false"/>
            <w:i w:val="false"/>
            <w:color w:val="000000"/>
            <w:sz w:val="22"/>
          </w:rPr>
          <w:t>441—86.8</w:t>
        </w:r>
      </w:hyperlink>
      <w:r>
        <w:rPr>
          <w:rFonts w:ascii="Times New Roman" w:hAnsi="Times New Roman"/>
          <w:b w:val="false"/>
          <w:i w:val="false"/>
          <w:color w:val="000000"/>
          <w:sz w:val="22"/>
        </w:rPr>
        <w:t>(514I), premiums will no longer be charged beginning with the month following the month of the report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86.10(4)</w:t>
      </w:r>
      <w:r>
        <w:rPr>
          <w:rFonts w:ascii="Times New Roman" w:hAnsi="Times New Roman"/>
          <w:b w:val="false"/>
          <w:i w:val="false"/>
          <w:color w:val="000000"/>
          <w:sz w:val="22"/>
        </w:rPr>
        <w:t> </w:t>
      </w:r>
      <w:r>
        <w:rPr>
          <w:rFonts w:ascii="Times New Roman" w:hAnsi="Times New Roman"/>
          <w:b w:val="false"/>
          <w:i/>
          <w:color w:val="000000"/>
          <w:sz w:val="22"/>
        </w:rPr>
        <w:t xml:space="preserve">Information reported by a third party. </w:t>
      </w:r>
      <w:r>
        <w:rPr>
          <w:rFonts w:ascii="Times New Roman" w:hAnsi="Times New Roman"/>
          <w:b w:val="false"/>
          <w:i w:val="false"/>
          <w:color w:val="000000"/>
          <w:sz w:val="22"/>
        </w:rPr>
        <w:t xml:space="preserve">Information reported by a third party will not be acted upon until the information is verified in accordance with subrule </w:t>
      </w:r>
      <w:hyperlink r:id="rId37">
        <w:r>
          <w:rPr>
            <w:rStyle w:val="Hyperlink"/>
            <w:rFonts w:ascii="Times New Roman" w:hAnsi="Times New Roman"/>
            <w:b w:val="false"/>
            <w:i w:val="false"/>
            <w:color w:val="000000"/>
            <w:sz w:val="22"/>
          </w:rPr>
          <w:t>86.3(7)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86.10(5)</w:t>
      </w:r>
      <w:r>
        <w:rPr>
          <w:rFonts w:ascii="Times New Roman" w:hAnsi="Times New Roman"/>
          <w:b w:val="false"/>
          <w:i w:val="false"/>
          <w:color w:val="000000"/>
          <w:sz w:val="22"/>
        </w:rPr>
        <w:t> </w:t>
      </w:r>
      <w:r>
        <w:rPr>
          <w:rFonts w:ascii="Times New Roman" w:hAnsi="Times New Roman"/>
          <w:b w:val="false"/>
          <w:i/>
          <w:color w:val="000000"/>
          <w:sz w:val="22"/>
        </w:rPr>
        <w:t xml:space="preserve">Cooperation. </w:t>
      </w:r>
      <w:r>
        <w:rPr>
          <w:rFonts w:ascii="Times New Roman" w:hAnsi="Times New Roman"/>
          <w:b w:val="false"/>
          <w:i w:val="false"/>
          <w:color w:val="000000"/>
          <w:sz w:val="22"/>
        </w:rPr>
        <w:t xml:space="preserve">The provisions of subrule </w:t>
      </w:r>
      <w:hyperlink r:id="rId38">
        <w:r>
          <w:rPr>
            <w:rStyle w:val="Hyperlink"/>
            <w:rFonts w:ascii="Times New Roman" w:hAnsi="Times New Roman"/>
            <w:b w:val="false"/>
            <w:i w:val="false"/>
            <w:color w:val="000000"/>
            <w:sz w:val="22"/>
          </w:rPr>
          <w:t>86.3(7)</w:t>
        </w:r>
      </w:hyperlink>
      <w:r>
        <w:rPr>
          <w:rFonts w:ascii="Times New Roman" w:hAnsi="Times New Roman"/>
          <w:b w:val="false"/>
          <w:i w:val="false"/>
          <w:color w:val="000000"/>
          <w:sz w:val="22"/>
        </w:rPr>
        <w:t xml:space="preserve"> shall apply when a request for information or verification is made due to a change. In addition, failure of the enrollee or of the person acting on behalf of the enrollee to provide requested information or verification that may affect eligibility for the program shall result in cancellation and recoupment of all payments made by the department on behalf of the enrollee during the period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86.10(6)</w:t>
      </w:r>
      <w:r>
        <w:rPr>
          <w:rFonts w:ascii="Times New Roman" w:hAnsi="Times New Roman"/>
          <w:b w:val="false"/>
          <w:i w:val="false"/>
          <w:color w:val="000000"/>
          <w:sz w:val="22"/>
        </w:rPr>
        <w:t> </w:t>
      </w:r>
      <w:r>
        <w:rPr>
          <w:rFonts w:ascii="Times New Roman" w:hAnsi="Times New Roman"/>
          <w:b w:val="false"/>
          <w:i/>
          <w:color w:val="000000"/>
          <w:sz w:val="22"/>
        </w:rPr>
        <w:t xml:space="preserve">Effective date of change in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change in circumstances has a positive effect on eligibility, the change in eligibility shall be effective no earlier than the month following the month in which the change in circumstances was reported, regardless of when the change was reported.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change in circumstances has an adverse effect on eligibility, the change in eligibility shall be effective no earlier than the month following the issuance of a timely notification, in accordance with the provisions of rule </w:t>
      </w:r>
      <w:hyperlink r:id="rId39">
        <w:r>
          <w:rPr>
            <w:rStyle w:val="Hyperlink"/>
            <w:rFonts w:ascii="Times New Roman" w:hAnsi="Times New Roman"/>
            <w:b w:val="false"/>
            <w:i w:val="false"/>
            <w:color w:val="000000"/>
            <w:sz w:val="22"/>
          </w:rPr>
          <w:t>441—86.11</w:t>
        </w:r>
      </w:hyperlink>
      <w:r>
        <w:rPr>
          <w:rFonts w:ascii="Times New Roman" w:hAnsi="Times New Roman"/>
          <w:b w:val="false"/>
          <w:i w:val="false"/>
          <w:color w:val="000000"/>
          <w:sz w:val="22"/>
        </w:rPr>
        <w:t>(514I). When the change in circumstances was not reported timely, as defined in this rule, benefits shall be recouped beginning with the month following the month in which the change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anticipated change in circumstances is reported before the change occurs, no action will be taken until the change actually occurs and is verified in accordance with the provisions of subrule </w:t>
      </w:r>
      <w:hyperlink r:id="rId40">
        <w:r>
          <w:rPr>
            <w:rStyle w:val="Hyperlink"/>
            <w:rFonts w:ascii="Times New Roman" w:hAnsi="Times New Roman"/>
            <w:b w:val="false"/>
            <w:i w:val="false"/>
            <w:color w:val="000000"/>
            <w:sz w:val="22"/>
          </w:rPr>
          <w:t>86.3(7)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441—86.11</w:t>
      </w:r>
      <w:r>
        <w:rPr>
          <w:rFonts w:ascii="Times New Roman" w:hAnsi="Times New Roman"/>
          <w:b/>
          <w:i w:val="false"/>
          <w:color w:val="000000"/>
          <w:sz w:val="22"/>
        </w:rPr>
        <w:t xml:space="preserve">(514I) </w:t>
      </w:r>
      <w:r>
        <w:rPr>
          <w:rFonts w:ascii="Times New Roman" w:hAnsi="Times New Roman"/>
          <w:b/>
          <w:i w:val="false"/>
          <w:color w:val="000000"/>
          <w:sz w:val="22"/>
        </w:rPr>
        <w:t xml:space="preserve">Notice requirements. </w:t>
      </w:r>
      <w:r>
        <w:rPr>
          <w:rFonts w:ascii="Times New Roman" w:hAnsi="Times New Roman"/>
          <w:b w:val="false"/>
          <w:i w:val="false"/>
          <w:color w:val="000000"/>
          <w:sz w:val="22"/>
        </w:rPr>
        <w:t xml:space="preserve">The applicant will be provided an adequate written notice of the decision regarding the applicant’s eligibility for the hawki program. The enrollee will be notified in writing of any decision that adversely affects the enrollee’s eligibility or the amount of benefits. The notice will be timely and adequate as provided in rule </w:t>
      </w:r>
      <w:hyperlink r:id="rId41">
        <w:r>
          <w:rPr>
            <w:rStyle w:val="Hyperlink"/>
            <w:rFonts w:ascii="Times New Roman" w:hAnsi="Times New Roman"/>
            <w:b w:val="false"/>
            <w:i w:val="false"/>
            <w:color w:val="000000"/>
            <w:sz w:val="22"/>
          </w:rPr>
          <w:t>441—16.2</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441—86.12</w:t>
      </w:r>
      <w:r>
        <w:rPr>
          <w:rFonts w:ascii="Times New Roman" w:hAnsi="Times New Roman"/>
          <w:b/>
          <w:i w:val="false"/>
          <w:color w:val="000000"/>
          <w:sz w:val="22"/>
        </w:rPr>
        <w:t xml:space="preserve">(514I) </w:t>
      </w:r>
      <w:r>
        <w:rPr>
          <w:rFonts w:ascii="Times New Roman" w:hAnsi="Times New Roman"/>
          <w:b/>
          <w:i w:val="false"/>
          <w:color w:val="000000"/>
          <w:sz w:val="22"/>
        </w:rPr>
        <w:t xml:space="preserve">Appeals and fair hearings. </w:t>
      </w:r>
      <w:r>
        <w:rPr>
          <w:rFonts w:ascii="Times New Roman" w:hAnsi="Times New Roman"/>
          <w:b w:val="false"/>
          <w:i w:val="false"/>
          <w:color w:val="000000"/>
          <w:sz w:val="22"/>
        </w:rPr>
        <w:t xml:space="preserve">If the applicant or enrollee disputes a decision to reduce, cancel or deny participation in the hawki program, the applicant or enrollee may appeal the decision in accordance with </w:t>
      </w:r>
      <w:hyperlink r:id="rId42">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441—86.13</w:t>
      </w:r>
      <w:r>
        <w:rPr>
          <w:rFonts w:ascii="Times New Roman" w:hAnsi="Times New Roman"/>
          <w:b/>
          <w:i w:val="false"/>
          <w:color w:val="000000"/>
          <w:sz w:val="22"/>
        </w:rPr>
        <w:t xml:space="preserve">(514I) </w:t>
      </w:r>
      <w:r>
        <w:rPr>
          <w:rFonts w:ascii="Times New Roman" w:hAnsi="Times New Roman"/>
          <w:b/>
          <w:i w:val="false"/>
          <w:color w:val="000000"/>
          <w:sz w:val="22"/>
        </w:rPr>
        <w:t xml:space="preserve">Covered services. </w:t>
      </w:r>
      <w:r>
        <w:rPr>
          <w:rFonts w:ascii="Times New Roman" w:hAnsi="Times New Roman"/>
          <w:b w:val="false"/>
          <w:i w:val="false"/>
          <w:color w:val="000000"/>
          <w:sz w:val="22"/>
        </w:rPr>
        <w:t xml:space="preserve">The benefits provided under the hawki program shall meet a benchmark, benchmark equivalent, or benefit plan that complies with </w:t>
      </w:r>
      <w:r>
        <w:rPr>
          <w:rFonts w:ascii="Times New Roman" w:hAnsi="Times New Roman"/>
          <w:b w:val="false"/>
          <w:i w:val="false"/>
          <w:color w:val="000000"/>
          <w:sz w:val="22"/>
        </w:rPr>
        <w:t>Title XXI of the federal Social Security Act</w:t>
      </w:r>
      <w:r>
        <w:rPr>
          <w:rFonts w:ascii="Times New Roman" w:hAnsi="Times New Roman"/>
          <w:b w:val="false"/>
          <w:i w:val="false"/>
          <w:color w:val="000000"/>
          <w:sz w:val="22"/>
        </w:rPr>
        <w:t xml:space="preserve">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86.13(1)</w:t>
      </w:r>
      <w:r>
        <w:rPr>
          <w:rFonts w:ascii="Times New Roman" w:hAnsi="Times New Roman"/>
          <w:b w:val="false"/>
          <w:i w:val="false"/>
          <w:color w:val="000000"/>
          <w:sz w:val="22"/>
        </w:rPr>
        <w:t> </w:t>
      </w:r>
      <w:r>
        <w:rPr>
          <w:rFonts w:ascii="Times New Roman" w:hAnsi="Times New Roman"/>
          <w:b w:val="false"/>
          <w:i/>
          <w:color w:val="000000"/>
          <w:sz w:val="22"/>
        </w:rPr>
        <w:t xml:space="preserve">Required medical services. </w:t>
      </w:r>
      <w:r>
        <w:rPr>
          <w:rFonts w:ascii="Times New Roman" w:hAnsi="Times New Roman"/>
          <w:b w:val="false"/>
          <w:i w:val="false"/>
          <w:color w:val="000000"/>
          <w:sz w:val="22"/>
        </w:rPr>
        <w:t>The participating health plan shall cover at a minimum the following medically necessary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Inpatient hospital services (including medical, surgical, intensive care unit, mental health, and substance abuse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Physician services (including surgical and medical, and including office visits, newborn care, well-baby and well-child care, immunizations, urgent care, specialist care, allergy testing and treatment, mental health visits, and substance abuse visits).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Outpatient hospital services (including emergency room, surgery, lab, and x-ray services and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Ambulance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Physical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Nursing care services (including skilled nursing facility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Speech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Durable medical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Home health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Hospice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Prescription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Hearing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Vision services (including corrective lenses).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Translation and interpreter services as specified pursuant to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1397ee(a)(1) as amended to August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Chiropractic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86.13(2)</w:t>
      </w:r>
      <w:r>
        <w:rPr>
          <w:rFonts w:ascii="Times New Roman" w:hAnsi="Times New Roman"/>
          <w:b w:val="false"/>
          <w:i w:val="false"/>
          <w:color w:val="000000"/>
          <w:sz w:val="22"/>
        </w:rPr>
        <w:t> </w:t>
      </w:r>
      <w:r>
        <w:rPr>
          <w:rFonts w:ascii="Times New Roman" w:hAnsi="Times New Roman"/>
          <w:b w:val="false"/>
          <w:i/>
          <w:color w:val="000000"/>
          <w:sz w:val="22"/>
        </w:rPr>
        <w:t xml:space="preserve">Abortion. </w:t>
      </w:r>
      <w:r>
        <w:rPr>
          <w:rFonts w:ascii="Times New Roman" w:hAnsi="Times New Roman"/>
          <w:b w:val="false"/>
          <w:i w:val="false"/>
          <w:color w:val="000000"/>
          <w:sz w:val="22"/>
        </w:rPr>
        <w:t>Payment for abortion shall only be made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physician certifies that the pregnant enrollee suffers from a physical disorder, physical injury, or physical illness, including a life-endangering physical condition caused by or arising from the pregnancy itself, that would place the enrollee in danger of death unless an abortion is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pregnancy was the result of an act of rape or incest.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86.13(3)</w:t>
      </w:r>
      <w:r>
        <w:rPr>
          <w:rFonts w:ascii="Times New Roman" w:hAnsi="Times New Roman"/>
          <w:b w:val="false"/>
          <w:i w:val="false"/>
          <w:color w:val="000000"/>
          <w:sz w:val="22"/>
        </w:rPr>
        <w:t> </w:t>
      </w:r>
      <w:r>
        <w:rPr>
          <w:rFonts w:ascii="Times New Roman" w:hAnsi="Times New Roman"/>
          <w:b w:val="false"/>
          <w:i/>
          <w:color w:val="000000"/>
          <w:sz w:val="22"/>
        </w:rPr>
        <w:t xml:space="preserve">Required dental services. </w:t>
      </w:r>
      <w:r>
        <w:rPr>
          <w:rFonts w:ascii="Times New Roman" w:hAnsi="Times New Roman"/>
          <w:b w:val="false"/>
          <w:i w:val="false"/>
          <w:color w:val="000000"/>
          <w:sz w:val="22"/>
        </w:rPr>
        <w:t>Participating dental plans shall cover at a minimum the following necessary dental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Diagnostic and preventive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Routine and restorative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Endodontic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Periodontal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Cast restorations.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Prosthetics.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441—86.14</w:t>
      </w:r>
      <w:r>
        <w:rPr>
          <w:rFonts w:ascii="Times New Roman" w:hAnsi="Times New Roman"/>
          <w:b/>
          <w:i w:val="false"/>
          <w:color w:val="000000"/>
          <w:sz w:val="22"/>
        </w:rPr>
        <w:t xml:space="preserve">(514I) </w:t>
      </w:r>
      <w:r>
        <w:rPr>
          <w:rFonts w:ascii="Times New Roman" w:hAnsi="Times New Roman"/>
          <w:b/>
          <w:i w:val="false"/>
          <w:color w:val="000000"/>
          <w:sz w:val="22"/>
        </w:rPr>
        <w:t xml:space="preserve">Participating health and dental plans.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86.14(1)</w:t>
      </w:r>
      <w:r>
        <w:rPr>
          <w:rFonts w:ascii="Times New Roman" w:hAnsi="Times New Roman"/>
          <w:b w:val="false"/>
          <w:i w:val="false"/>
          <w:color w:val="000000"/>
          <w:sz w:val="22"/>
        </w:rPr>
        <w:t> </w:t>
      </w:r>
      <w:r>
        <w:rPr>
          <w:rFonts w:ascii="Times New Roman" w:hAnsi="Times New Roman"/>
          <w:b w:val="false"/>
          <w:i/>
          <w:color w:val="000000"/>
          <w:sz w:val="22"/>
        </w:rPr>
        <w:t xml:space="preserve">Licensure. </w:t>
      </w:r>
      <w:r>
        <w:rPr>
          <w:rFonts w:ascii="Times New Roman" w:hAnsi="Times New Roman"/>
          <w:b w:val="false"/>
          <w:i w:val="false"/>
          <w:color w:val="000000"/>
          <w:sz w:val="22"/>
        </w:rPr>
        <w:t>The participating health or dental plan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licensed by the division of insurance of the department of insurance and financial services to provide health or dental care coverage in Iowa;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an organized delivery system licensed by the director to provide health or dental care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86.14(2)</w:t>
      </w:r>
      <w:r>
        <w:rPr>
          <w:rFonts w:ascii="Times New Roman" w:hAnsi="Times New Roman"/>
          <w:b w:val="false"/>
          <w:i w:val="false"/>
          <w:color w:val="000000"/>
          <w:sz w:val="22"/>
        </w:rPr>
        <w:t> </w:t>
      </w:r>
      <w:r>
        <w:rPr>
          <w:rFonts w:ascii="Times New Roman" w:hAnsi="Times New Roman"/>
          <w:b w:val="false"/>
          <w:i/>
          <w:color w:val="000000"/>
          <w:sz w:val="22"/>
        </w:rPr>
        <w:t xml:space="preserve">Services. </w:t>
      </w:r>
      <w:r>
        <w:rPr>
          <w:rFonts w:ascii="Times New Roman" w:hAnsi="Times New Roman"/>
          <w:b w:val="false"/>
          <w:i w:val="false"/>
          <w:color w:val="000000"/>
          <w:sz w:val="22"/>
        </w:rPr>
        <w:t xml:space="preserve">The participating health or dental plan shall provide coverage for the services specified in rule </w:t>
      </w:r>
      <w:hyperlink r:id="rId43">
        <w:r>
          <w:rPr>
            <w:rStyle w:val="Hyperlink"/>
            <w:rFonts w:ascii="Times New Roman" w:hAnsi="Times New Roman"/>
            <w:b w:val="false"/>
            <w:i w:val="false"/>
            <w:color w:val="000000"/>
            <w:sz w:val="22"/>
          </w:rPr>
          <w:t>441—86.13</w:t>
        </w:r>
      </w:hyperlink>
      <w:r>
        <w:rPr>
          <w:rFonts w:ascii="Times New Roman" w:hAnsi="Times New Roman"/>
          <w:b w:val="false"/>
          <w:i w:val="false"/>
          <w:color w:val="000000"/>
          <w:sz w:val="22"/>
        </w:rPr>
        <w:t>(514I) to all children determined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participating health or dental plan shall make services it provides to hawki enrollees at least as accessible to the enrollees (in terms of timeliness, duration and scope) as those services are accessible to other commercial enrollees in the area served by the health or dental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Participating health plans shall ensure that emergency services (inpatient and outpatient) are available for treatment of an emergency medical condition 24 hours a day, seven days a week, either through the health plan’s own providers or through arrangements with other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participating health or dental plan does not provide statewide coverage, the health or dental plan shall participate in every county in which it is licensed and in which a provider network has been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86.14(3)</w:t>
      </w:r>
      <w:r>
        <w:rPr>
          <w:rFonts w:ascii="Times New Roman" w:hAnsi="Times New Roman"/>
          <w:b w:val="false"/>
          <w:i w:val="false"/>
          <w:color w:val="000000"/>
          <w:sz w:val="22"/>
        </w:rPr>
        <w:t> </w:t>
      </w:r>
      <w:r>
        <w:rPr>
          <w:rFonts w:ascii="Times New Roman" w:hAnsi="Times New Roman"/>
          <w:b w:val="false"/>
          <w:i/>
          <w:color w:val="000000"/>
          <w:sz w:val="22"/>
        </w:rPr>
        <w:t xml:space="preserve">Provider network. </w:t>
      </w:r>
      <w:r>
        <w:rPr>
          <w:rFonts w:ascii="Times New Roman" w:hAnsi="Times New Roman"/>
          <w:b w:val="false"/>
          <w:i w:val="false"/>
          <w:color w:val="000000"/>
          <w:sz w:val="22"/>
        </w:rPr>
        <w:t>The participating health or dental plan shall establish a network of providers. Providers contracting with the participating health or dental plan shall comply with hawki requirements, which shall include collecting copayments,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86.14(4)</w:t>
      </w:r>
      <w:r>
        <w:rPr>
          <w:rFonts w:ascii="Times New Roman" w:hAnsi="Times New Roman"/>
          <w:b w:val="false"/>
          <w:i w:val="false"/>
          <w:color w:val="000000"/>
          <w:sz w:val="22"/>
        </w:rPr>
        <w:t> </w:t>
      </w:r>
      <w:r>
        <w:rPr>
          <w:rFonts w:ascii="Times New Roman" w:hAnsi="Times New Roman"/>
          <w:b w:val="false"/>
          <w:i/>
          <w:color w:val="000000"/>
          <w:sz w:val="22"/>
        </w:rPr>
        <w:t xml:space="preserve">Identification cards. </w:t>
      </w:r>
      <w:r>
        <w:rPr>
          <w:rFonts w:ascii="Times New Roman" w:hAnsi="Times New Roman"/>
          <w:b w:val="false"/>
          <w:i w:val="false"/>
          <w:color w:val="000000"/>
          <w:sz w:val="22"/>
        </w:rPr>
        <w:t>Identification cards shall be issued by the participating health or dental plan to the enrollees for use in securing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86.14(5)</w:t>
      </w:r>
      <w:r>
        <w:rPr>
          <w:rFonts w:ascii="Times New Roman" w:hAnsi="Times New Roman"/>
          <w:b w:val="false"/>
          <w:i w:val="false"/>
          <w:color w:val="000000"/>
          <w:sz w:val="22"/>
        </w:rPr>
        <w:t> </w:t>
      </w:r>
      <w:r>
        <w:rPr>
          <w:rFonts w:ascii="Times New Roman" w:hAnsi="Times New Roman"/>
          <w:b w:val="false"/>
          <w:i/>
          <w:color w:val="000000"/>
          <w:sz w:val="22"/>
        </w:rPr>
        <w:t xml:space="preserve">Marketing.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Participating health and dental plans may not distribute any marketing materials directly or through an agent or independent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marketing materials require prior approval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a minimum, participating health and dental plans must provide the following material in writing or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current member handbook that fully explains the services available, how and when to obtain them, and special factors applicable to the hawki enrollees. At a minimum the handbook shall include covered services, network providers, exclusions, emergency services procedures, 24-hour toll-free number for certification of services, daytime number to call for assistance, appeal procedures, enrollee rights and responsibilities, and definitions of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health and dental plan literature and brochures shall be available in English and any other language when enrollment in the health or dental plan by enrollees who speak the same non-English language equals or exceeds 10 percent of all enrollees in the health or dental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health and dental plan literature and brochures shall be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participating health and dental plans shall not, directly or indirectly, conduct door-to-door, telephonic, or other “cold-call” marketing.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participating health or dental plan may make marketing presentations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86.14(6)</w:t>
      </w:r>
      <w:r>
        <w:rPr>
          <w:rFonts w:ascii="Times New Roman" w:hAnsi="Times New Roman"/>
          <w:b w:val="false"/>
          <w:i w:val="false"/>
          <w:color w:val="000000"/>
          <w:sz w:val="22"/>
        </w:rPr>
        <w:t> </w:t>
      </w:r>
      <w:r>
        <w:rPr>
          <w:rFonts w:ascii="Times New Roman" w:hAnsi="Times New Roman"/>
          <w:b w:val="false"/>
          <w:i/>
          <w:color w:val="000000"/>
          <w:sz w:val="22"/>
        </w:rPr>
        <w:t xml:space="preserve">Appeal process. </w:t>
      </w:r>
      <w:r>
        <w:rPr>
          <w:rFonts w:ascii="Times New Roman" w:hAnsi="Times New Roman"/>
          <w:b w:val="false"/>
          <w:i w:val="false"/>
          <w:color w:val="000000"/>
          <w:sz w:val="22"/>
        </w:rPr>
        <w:t>The participating health or dental plan shall have a written procedure by which enrollees may appeal issues concerning the health or dental care services provided through providers contracted with the health or dental plan and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approved by the department prior to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Acknowledges receipt of the appeal to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Establishes time frames that ensure that appeals be resolved within 45 days, except for appeals that involve emergency medical conditions, which shall be resolved within time frames appropriate to the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Ensures the participation of persons with authority to take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Ensures that the decision be made by a physician, dentist, or clinical peer not previously involved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Ensures the confidentiality of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Ensures issuance of a written decision to the enrollee for each appeal, which shall contain an adequate explanation of the action taken and the reason for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Maintains a log of the appeals that is made available to the department at the department’s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Ensures that the participating health or dental plan’s written appeal procedures be provided to each newly covered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Requires that the participating health or dental plan make quarterly reports to the department summarizing appeals and resolutions.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86.14(7)</w:t>
      </w:r>
      <w:r>
        <w:rPr>
          <w:rFonts w:ascii="Times New Roman" w:hAnsi="Times New Roman"/>
          <w:b w:val="false"/>
          <w:i w:val="false"/>
          <w:color w:val="000000"/>
          <w:sz w:val="22"/>
        </w:rPr>
        <w:t> </w:t>
      </w:r>
      <w:r>
        <w:rPr>
          <w:rFonts w:ascii="Times New Roman" w:hAnsi="Times New Roman"/>
          <w:b w:val="false"/>
          <w:i/>
          <w:color w:val="000000"/>
          <w:sz w:val="22"/>
        </w:rPr>
        <w:t xml:space="preserve">Records and reports. </w:t>
      </w:r>
      <w:r>
        <w:rPr>
          <w:rFonts w:ascii="Times New Roman" w:hAnsi="Times New Roman"/>
          <w:b w:val="false"/>
          <w:i w:val="false"/>
          <w:color w:val="000000"/>
          <w:sz w:val="22"/>
        </w:rPr>
        <w:t>The participating health and dental plans shall maintain records and reports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health or dental plan shall comply with the provisions of rule </w:t>
      </w:r>
      <w:hyperlink r:id="rId44">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 xml:space="preserve">(249A) regarding maintenance and retention of clinical and fiscal records and shall file a letter with the commissioner of insurance as described in Iowa Code section </w:t>
      </w:r>
      <w:hyperlink r:id="rId45">
        <w:r>
          <w:rPr>
            <w:rStyle w:val="Hyperlink"/>
            <w:rFonts w:ascii="Times New Roman" w:hAnsi="Times New Roman"/>
            <w:b w:val="false"/>
            <w:i w:val="false"/>
            <w:color w:val="000000"/>
            <w:sz w:val="22"/>
          </w:rPr>
          <w:t>228.7</w:t>
        </w:r>
      </w:hyperlink>
      <w:r>
        <w:rPr>
          <w:rFonts w:ascii="Times New Roman" w:hAnsi="Times New Roman"/>
          <w:b w:val="false"/>
          <w:i w:val="false"/>
          <w:color w:val="000000"/>
          <w:sz w:val="22"/>
        </w:rPr>
        <w:t>. In addition, the health or dental plan or subcontractor of the health or dental plan, as appropriate, must maintain a medical or dental records system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Identifies each medical or dental record by hawki enrollee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Maintains a complete medical or dental record for each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Provides a specific medical or dental record on demand.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Meets state and federal reporting requirements applicable to the hawki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Maintains the confidentiality of medical or dental records information and releases the information only in accordance with established policy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medical and dental records of the enrollee shall be confidential and shall not be released without the written consent of the enrollee or responsible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Written consent is not required for the transmission of medical or dental records information to physicians, dentists, other practitioners, or facilities that are providing services to enrollees under a subcontract with the health or dental plan. This provision also applies to specialty providers who are retained by the health or dental plan to provide services that are infrequently used, which provide a support system service to the operation of the health or dental plan, or that are of an unusual nature. This provision is also intended to waive the need for written consent for department staff assisting in the administration of the program, reviewers from the peer review organization (PRO), monitoring authorities from the Centers for Medicare and Medicaid Services (CMS), the health or dental plan itself, and other subcontractors that require information as described under numbered paragraph “5”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consent is not required for the transmission of medical or dental records information to physicians, dentists, or facilities providing emergency care pursuant to paragraph </w:t>
      </w:r>
      <w:hyperlink r:id="rId46">
        <w:r>
          <w:rPr>
            <w:rStyle w:val="Hyperlink"/>
            <w:rFonts w:ascii="Times New Roman" w:hAnsi="Times New Roman"/>
            <w:b w:val="false"/>
            <w:i w:val="false"/>
            <w:color w:val="000000"/>
            <w:sz w:val="22"/>
          </w:rPr>
          <w:t>86.14(2)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Written consent is required for the transmission of the medical or dental records information of a former enrollee to any physician or dentist not connected with the health or dental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extent of medical or dental records information to be released in each instance shall be based upon a test of medical or dental necessity and a “need to know” on the part of the practitioner or a facility requesting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Medical and dental records maintained by subcontractors shall meet the requirements of this rule except that written consent is required for the transmission of medical records relating to substance abuse, HIV, or mental health treatment in accordance with state and federal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health or dental plan shall provide at a minimum reports and plan information to the department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list of providers of services under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Encounter data on a monthly basis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information as directed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health or dental plan shall at a minimum provide reports and health or dental plan information to the department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regarding the plan’s appeal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plan for a health improvement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Periodic financial, utilization and statistical reports as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Time-specific reports that define activity for child health care, appeals and other designated activities that may, at the department’s discretion, vary among plans, depending on the services covered or other differences.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Other information as directed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86.14(8)</w:t>
      </w:r>
      <w:r>
        <w:rPr>
          <w:rFonts w:ascii="Times New Roman" w:hAnsi="Times New Roman"/>
          <w:b w:val="false"/>
          <w:i w:val="false"/>
          <w:color w:val="000000"/>
          <w:sz w:val="22"/>
        </w:rPr>
        <w:t> </w:t>
      </w:r>
      <w:r>
        <w:rPr>
          <w:rFonts w:ascii="Times New Roman" w:hAnsi="Times New Roman"/>
          <w:b w:val="false"/>
          <w:i/>
          <w:color w:val="000000"/>
          <w:sz w:val="22"/>
        </w:rPr>
        <w:t xml:space="preserve">Payment to the participating health or dental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consideration for all services rendered by a health or dental plan, the health or dental plan shall receive a payment each month for each enrollee. This capitation rate represents the total obligation of the department with respect to the costs of medical or dental care and services provided to the enrollees.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capitation rate shall be actuarially determined by the department July of 2000 and each fiscal year thereafter using statistics and data assumptions and relevant experience derived from similar populations.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capitation rate does not include any amounts for the recoupment of losses suffered by the health or dental plan for risks assumed under the current or any previous contract. The health or dental plan accepts the rate as payment in full for the contracted services. Any savings realized by the health or dental plan due to lower utilization from a less frequent incidence of health or dental problems among the enrolled population shall be wholly retained by the health or dental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enrollee has third-party coverage or a responsible party other than the hawki program available for purposes of payment for medical or dental expenses, it is the right and responsibility of the health or dental plan to investigate these third-party resources and attempt to obtain payment. The health or dental plan shall retain all funds collected through third-party sources. A complete record of all income from these sources must be maintained and made available to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441—86.15</w:t>
      </w:r>
      <w:r>
        <w:rPr>
          <w:rFonts w:ascii="Times New Roman" w:hAnsi="Times New Roman"/>
          <w:b/>
          <w:i w:val="false"/>
          <w:color w:val="000000"/>
          <w:sz w:val="22"/>
        </w:rPr>
        <w:t xml:space="preserve">(514I) </w:t>
      </w:r>
      <w:r>
        <w:rPr>
          <w:rFonts w:ascii="Times New Roman" w:hAnsi="Times New Roman"/>
          <w:b/>
          <w:i w:val="false"/>
          <w:color w:val="000000"/>
          <w:sz w:val="22"/>
        </w:rPr>
        <w:t xml:space="preserve">Use of donations to the hawki program. </w:t>
      </w:r>
      <w:r>
        <w:rPr>
          <w:rFonts w:ascii="Times New Roman" w:hAnsi="Times New Roman"/>
          <w:b w:val="false"/>
          <w:i w:val="false"/>
          <w:color w:val="000000"/>
          <w:sz w:val="22"/>
        </w:rPr>
        <w:t>If an individual or other entity makes a monetary donation to the hawki program, the department will deposit the donation into the hawki trust fund. The department will track all donations separately and will not commingle the donations with other moneys in the trust fund. The department shall report the receipt of all donations to MAAC.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86.15(1)</w:t>
      </w:r>
      <w:r>
        <w:rPr>
          <w:rFonts w:ascii="Times New Roman" w:hAnsi="Times New Roman"/>
          <w:b w:val="false"/>
          <w:i w:val="false"/>
          <w:color w:val="000000"/>
          <w:sz w:val="22"/>
        </w:rPr>
        <w:t> </w:t>
      </w:r>
      <w:r>
        <w:rPr>
          <w:rFonts w:ascii="Times New Roman" w:hAnsi="Times New Roman"/>
          <w:b w:val="false"/>
          <w:i w:val="false"/>
          <w:color w:val="000000"/>
          <w:sz w:val="22"/>
        </w:rPr>
        <w:t>If the donor specifically identifies the purpose of the donation, regardless of the amount, the donation shall be used as specified by the donor as long as the identified purpose is permissible under state and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86.15(2)</w:t>
      </w:r>
      <w:r>
        <w:rPr>
          <w:rFonts w:ascii="Times New Roman" w:hAnsi="Times New Roman"/>
          <w:b w:val="false"/>
          <w:i w:val="false"/>
          <w:color w:val="000000"/>
          <w:sz w:val="22"/>
        </w:rPr>
        <w:t> </w:t>
      </w:r>
      <w:r>
        <w:rPr>
          <w:rFonts w:ascii="Times New Roman" w:hAnsi="Times New Roman"/>
          <w:b w:val="false"/>
          <w:i w:val="false"/>
          <w:color w:val="000000"/>
          <w:sz w:val="22"/>
        </w:rPr>
        <w:t>If the donation is less than $5,000 and the donor does not specifically identify how it is to be used, the department will use the moneys in the following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direct benefit of enrollees (e.g., premium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outreach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other purposes as determined by MAAC.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86.15(3)</w:t>
      </w:r>
      <w:r>
        <w:rPr>
          <w:rFonts w:ascii="Times New Roman" w:hAnsi="Times New Roman"/>
          <w:b w:val="false"/>
          <w:i w:val="false"/>
          <w:color w:val="000000"/>
          <w:sz w:val="22"/>
        </w:rPr>
        <w:t> </w:t>
      </w:r>
      <w:r>
        <w:rPr>
          <w:rFonts w:ascii="Times New Roman" w:hAnsi="Times New Roman"/>
          <w:b w:val="false"/>
          <w:i w:val="false"/>
          <w:color w:val="000000"/>
          <w:sz w:val="22"/>
        </w:rPr>
        <w:t>If the donation is more than $5,000 and the donor does not specify how the funds are to be used, MAAC will determine how the funds are to be used.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441—86.16</w:t>
      </w:r>
      <w:r>
        <w:rPr>
          <w:rFonts w:ascii="Times New Roman" w:hAnsi="Times New Roman"/>
          <w:b/>
          <w:i w:val="false"/>
          <w:color w:val="000000"/>
          <w:sz w:val="22"/>
        </w:rPr>
        <w:t xml:space="preserve">(514I) </w:t>
      </w:r>
      <w:r>
        <w:rPr>
          <w:rFonts w:ascii="Times New Roman" w:hAnsi="Times New Roman"/>
          <w:b/>
          <w:i w:val="false"/>
          <w:color w:val="000000"/>
          <w:sz w:val="22"/>
        </w:rPr>
        <w:t xml:space="preserve">Recovery.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86.16(1)</w:t>
      </w:r>
      <w:r>
        <w:rPr>
          <w:rFonts w:ascii="Times New Roman" w:hAnsi="Times New Roman"/>
          <w:b w:val="false"/>
          <w:i w:val="false"/>
          <w:color w:val="000000"/>
          <w:sz w:val="22"/>
        </w:rPr>
        <w:t> </w:t>
      </w:r>
      <w:r>
        <w:rPr>
          <w:rFonts w:ascii="Times New Roman" w:hAnsi="Times New Roman"/>
          <w:b w:val="false"/>
          <w:i/>
          <w:color w:val="000000"/>
          <w:sz w:val="22"/>
        </w:rPr>
        <w:t xml:space="preserve">Amount subject to recovery from the enrollee or representative. </w:t>
      </w:r>
      <w:r>
        <w:rPr>
          <w:rFonts w:ascii="Times New Roman" w:hAnsi="Times New Roman"/>
          <w:b w:val="false"/>
          <w:i w:val="false"/>
          <w:color w:val="000000"/>
          <w:sz w:val="22"/>
        </w:rPr>
        <w:t xml:space="preserve">The department may recover from the enrollee or the enrollee’s representative the amount of premiums incorrectly paid to a health or dental plan on behalf of the enrollee due to client error, minus any premium payments made by the enrollee, in accordance with </w:t>
      </w:r>
      <w:hyperlink r:id="rId47">
        <w:r>
          <w:rPr>
            <w:rStyle w:val="Hyperlink"/>
            <w:rFonts w:ascii="Times New Roman" w:hAnsi="Times New Roman"/>
            <w:b w:val="false"/>
            <w:i w:val="false"/>
            <w:color w:val="000000"/>
            <w:sz w:val="22"/>
          </w:rPr>
          <w:t>441—Chapter 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Premiums incorrectly paid to a health or dental plan on behalf of an enrollee due to an administrative error are not subject to recovery from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Payments made by a health or dental plan to a provider of medical or dental services are not subject to recovery from the enrollee regardless of the cause of the error.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86.16(2)</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The enrollee will be promptly notified when it is determined that funds were incorrectly paid due to a client error. Notification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for whom funds were incorrectly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period during which the funds were incorrectly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subject to recovery;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reason for the incorrect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86.16(3)</w:t>
      </w:r>
      <w:r>
        <w:rPr>
          <w:rFonts w:ascii="Times New Roman" w:hAnsi="Times New Roman"/>
          <w:b w:val="false"/>
          <w:i w:val="false"/>
          <w:color w:val="000000"/>
          <w:sz w:val="22"/>
        </w:rPr>
        <w:t> </w:t>
      </w:r>
      <w:r>
        <w:rPr>
          <w:rFonts w:ascii="Times New Roman" w:hAnsi="Times New Roman"/>
          <w:b w:val="false"/>
          <w:i/>
          <w:color w:val="000000"/>
          <w:sz w:val="22"/>
        </w:rPr>
        <w:t xml:space="preserve">Recovery.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Recovery shall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From the enrollee when the enrollee completed the application and had responsibility for reporting changes,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From the enrollee’s representative (i.e., the parent, guardian, or other responsible person acting on behalf of an enrollee who is under the age of 19) when the representative completed the application and had responsibility for reporting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enrollee or representative shall repay to the department the funds incorrectly expended on behalf of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Recovery may come from income, income tax refunds, lottery winnings, or other resources of the enrollee or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86.16(4)</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The enrollee shall have the right to appeal a decision to recover benefits under the provisions of </w:t>
      </w:r>
      <w:hyperlink r:id="rId48">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441—86.17</w:t>
      </w:r>
      <w:r>
        <w:rPr>
          <w:rFonts w:ascii="Times New Roman" w:hAnsi="Times New Roman"/>
          <w:b/>
          <w:i w:val="false"/>
          <w:color w:val="000000"/>
          <w:sz w:val="22"/>
        </w:rPr>
        <w:t xml:space="preserve">(514I) </w:t>
      </w:r>
      <w:r>
        <w:rPr>
          <w:rFonts w:ascii="Times New Roman" w:hAnsi="Times New Roman"/>
          <w:b/>
          <w:i w:val="false"/>
          <w:color w:val="000000"/>
          <w:sz w:val="22"/>
        </w:rPr>
        <w:t xml:space="preserve">Supplemental dental-only coverage.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 xml:space="preserve">Unless otherwise specified, eligibility for supplemental dental-only coverage shall be determined in accordance with the provisions of rules </w:t>
      </w:r>
      <w:hyperlink r:id="rId49">
        <w:r>
          <w:rPr>
            <w:rStyle w:val="Hyperlink"/>
            <w:rFonts w:ascii="Times New Roman" w:hAnsi="Times New Roman"/>
            <w:b w:val="false"/>
            <w:i w:val="false"/>
            <w:color w:val="000000"/>
            <w:sz w:val="22"/>
          </w:rPr>
          <w:t>441—86.2</w:t>
        </w:r>
      </w:hyperlink>
      <w:r>
        <w:rPr>
          <w:rFonts w:ascii="Times New Roman" w:hAnsi="Times New Roman"/>
          <w:b w:val="false"/>
          <w:i w:val="false"/>
          <w:color w:val="000000"/>
          <w:sz w:val="22"/>
        </w:rPr>
        <w:t xml:space="preserve">(514I) through </w:t>
      </w:r>
      <w:hyperlink r:id="rId50">
        <w:r>
          <w:rPr>
            <w:rStyle w:val="Hyperlink"/>
            <w:rFonts w:ascii="Times New Roman" w:hAnsi="Times New Roman"/>
            <w:b w:val="false"/>
            <w:i w:val="false"/>
            <w:color w:val="000000"/>
            <w:sz w:val="22"/>
          </w:rPr>
          <w:t>441—86.12</w:t>
        </w:r>
      </w:hyperlink>
      <w:r>
        <w:rPr>
          <w:rFonts w:ascii="Times New Roman" w:hAnsi="Times New Roman"/>
          <w:b w:val="false"/>
          <w:i w:val="false"/>
          <w:color w:val="000000"/>
          <w:sz w:val="22"/>
        </w:rPr>
        <w:t xml:space="preserve">(514I) and </w:t>
      </w:r>
      <w:hyperlink r:id="rId51">
        <w:r>
          <w:rPr>
            <w:rStyle w:val="Hyperlink"/>
            <w:rFonts w:ascii="Times New Roman" w:hAnsi="Times New Roman"/>
            <w:b w:val="false"/>
            <w:i w:val="false"/>
            <w:color w:val="000000"/>
            <w:sz w:val="22"/>
          </w:rPr>
          <w:t>441—86.17</w:t>
        </w:r>
      </w:hyperlink>
      <w:r>
        <w:rPr>
          <w:rFonts w:ascii="Times New Roman" w:hAnsi="Times New Roman"/>
          <w:b w:val="false"/>
          <w:i w:val="false"/>
          <w:color w:val="000000"/>
          <w:sz w:val="22"/>
        </w:rPr>
        <w:t>(514I).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86.17(2)</w:t>
      </w:r>
      <w:r>
        <w:rPr>
          <w:rFonts w:ascii="Times New Roman" w:hAnsi="Times New Roman"/>
          <w:b w:val="false"/>
          <w:i w:val="false"/>
          <w:color w:val="000000"/>
          <w:sz w:val="22"/>
        </w:rPr>
        <w:t> </w:t>
      </w:r>
      <w:r>
        <w:rPr>
          <w:rFonts w:ascii="Times New Roman" w:hAnsi="Times New Roman"/>
          <w:b w:val="false"/>
          <w:i/>
          <w:color w:val="000000"/>
          <w:sz w:val="22"/>
        </w:rPr>
        <w:t xml:space="preserve">Premiums. </w:t>
      </w:r>
      <w:r>
        <w:rPr>
          <w:rFonts w:ascii="Times New Roman" w:hAnsi="Times New Roman"/>
          <w:b w:val="false"/>
          <w:i w:val="false"/>
          <w:color w:val="000000"/>
          <w:sz w:val="22"/>
        </w:rPr>
        <w:t>Premiums for participation in the supplemental dental-only plan are assessed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premium is charged to families whose countable income is less than or equal to 167 percent of the federal poverty level for a family of the same size using the modified adjusted gross income methodology or to an eligible child who is an American Indian or Alaska Native.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family’s countable income is equal to or exceeds 168 percent of the federal poverty level but does not exceed 203 percent of the federal poverty level for a family of the same size, the premium is $5 per child per month with a $10 monthly maximum per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family’s countable income exceeds 203 percent of the federal poverty level but does not exceed 254 percent of the federal poverty level for a family of the same size, the premium is $10 per child per month with a $15 monthly maximum per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family’s countable income exceeds 254 percent of the federal poverty level for a family of the same size, the premium is $15 per child per month with a $20 monthly maximum per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family includes uninsured children who are eligible for both medical and dental coverage under hawki and insured children who are eligible only for dental coverage, the premium will be assessed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premium will be no more than the amount that the family would pay if all the children were eligible for both medical and dental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family has one child eligible for both medical and dental coverage and one child eligible for dental coverage only, the premium will be the total of the health and dental premium for one child and the dental premium for one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family has two or more children eligible for both medical and dental coverage, no additional premium shall be assessed for dental-only coverage for the children who do not qualify for medical coverage under hawki because they are covered by health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subrules </w:t>
      </w:r>
      <w:hyperlink r:id="rId52">
        <w:r>
          <w:rPr>
            <w:rStyle w:val="Hyperlink"/>
            <w:rFonts w:ascii="Times New Roman" w:hAnsi="Times New Roman"/>
            <w:b w:val="false"/>
            <w:i w:val="false"/>
            <w:color w:val="000000"/>
            <w:sz w:val="22"/>
          </w:rPr>
          <w:t>86.8(3)</w:t>
        </w:r>
      </w:hyperlink>
      <w:r>
        <w:rPr>
          <w:rFonts w:ascii="Times New Roman" w:hAnsi="Times New Roman"/>
          <w:b w:val="false"/>
          <w:i w:val="false"/>
          <w:color w:val="000000"/>
          <w:sz w:val="22"/>
        </w:rPr>
        <w:t xml:space="preserve"> through </w:t>
      </w:r>
      <w:hyperlink r:id="rId53">
        <w:r>
          <w:rPr>
            <w:rStyle w:val="Hyperlink"/>
            <w:rFonts w:ascii="Times New Roman" w:hAnsi="Times New Roman"/>
            <w:b w:val="false"/>
            <w:i w:val="false"/>
            <w:color w:val="000000"/>
            <w:sz w:val="22"/>
          </w:rPr>
          <w:t>86.8(6)</w:t>
        </w:r>
      </w:hyperlink>
      <w:r>
        <w:rPr>
          <w:rFonts w:ascii="Times New Roman" w:hAnsi="Times New Roman"/>
          <w:b w:val="false"/>
          <w:i w:val="false"/>
          <w:color w:val="000000"/>
          <w:sz w:val="22"/>
        </w:rPr>
        <w:t xml:space="preserve"> apply to premiums specified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86.17(3)</w:t>
      </w:r>
      <w:r>
        <w:rPr>
          <w:rFonts w:ascii="Times New Roman" w:hAnsi="Times New Roman"/>
          <w:b w:val="false"/>
          <w:i w:val="false"/>
          <w:color w:val="000000"/>
          <w:sz w:val="22"/>
        </w:rPr>
        <w:t> </w:t>
      </w:r>
      <w:r>
        <w:rPr>
          <w:rFonts w:ascii="Times New Roman" w:hAnsi="Times New Roman"/>
          <w:b w:val="false"/>
          <w:i/>
          <w:color w:val="000000"/>
          <w:sz w:val="22"/>
        </w:rPr>
        <w:t xml:space="preserve">Waiting lists. </w:t>
      </w:r>
      <w:r>
        <w:rPr>
          <w:rFonts w:ascii="Times New Roman" w:hAnsi="Times New Roman"/>
          <w:b w:val="false"/>
          <w:i w:val="false"/>
          <w:color w:val="000000"/>
          <w:sz w:val="22"/>
        </w:rPr>
        <w:t xml:space="preserve">Before the provisions of subrule </w:t>
      </w:r>
      <w:hyperlink r:id="rId54">
        <w:r>
          <w:rPr>
            <w:rStyle w:val="Hyperlink"/>
            <w:rFonts w:ascii="Times New Roman" w:hAnsi="Times New Roman"/>
            <w:b w:val="false"/>
            <w:i w:val="false"/>
            <w:color w:val="000000"/>
            <w:sz w:val="22"/>
          </w:rPr>
          <w:t>86.3(10)</w:t>
        </w:r>
      </w:hyperlink>
      <w:r>
        <w:rPr>
          <w:rFonts w:ascii="Times New Roman" w:hAnsi="Times New Roman"/>
          <w:b w:val="false"/>
          <w:i w:val="false"/>
          <w:color w:val="000000"/>
          <w:sz w:val="22"/>
        </w:rPr>
        <w:t xml:space="preserve"> are implemented, all children enrolled in supplemental dental-only coverage shall be disenrolled from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9468C</w:t>
      </w:r>
      <w:r>
        <w:rPr>
          <w:rFonts w:ascii="Times New Roman" w:hAnsi="Times New Roman"/>
          <w:b w:val="false"/>
          <w:i w:val="false"/>
          <w:color w:val="000000"/>
          <w:sz w:val="16"/>
        </w:rPr>
        <w:t>, IAB 8/6/25, effective 10/1/25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55">
        <w:r>
          <w:rPr>
            <w:rStyle w:val="Hyperlink"/>
            <w:rFonts w:ascii="Times New Roman" w:hAnsi="Times New Roman"/>
            <w:b w:val="false"/>
            <w:i w:val="false"/>
            <w:color w:val="000000"/>
            <w:sz w:val="22"/>
          </w:rPr>
          <w:t>514I</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2024 Iowa Acts, Senate File 2385</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12/23/98 after Notice 11/4/98—published 1/13/99, effective 1/1/99]</w:t>
      </w:r>
    </w:p>
    <w:p>
      <w:pPr>
        <w:spacing w:before="0" w:after="0"/>
        <w:ind w:left="120"/>
        <w:jc w:val="center"/>
      </w:pPr>
      <w:r>
        <w:rPr>
          <w:rFonts w:ascii="Times New Roman" w:hAnsi="Times New Roman"/>
          <w:b w:val="false"/>
          <w:i w:val="false"/>
          <w:color w:val="000000"/>
          <w:sz w:val="21"/>
        </w:rPr>
        <w:t>[Filed emergency 12/23/98—published 1/13/99, effective 1/1/99]</w:t>
      </w:r>
    </w:p>
    <w:p>
      <w:pPr>
        <w:spacing w:before="0" w:after="0"/>
        <w:ind w:left="120"/>
        <w:jc w:val="center"/>
      </w:pPr>
      <w:r>
        <w:rPr>
          <w:rFonts w:ascii="Times New Roman" w:hAnsi="Times New Roman"/>
          <w:b w:val="false"/>
          <w:i w:val="false"/>
          <w:color w:val="000000"/>
          <w:sz w:val="21"/>
        </w:rPr>
        <w:t>[Filed 2/17/99, Notice 1/13/99—published 3/10/99, effective 5/1/99]</w:t>
      </w:r>
    </w:p>
    <w:p>
      <w:pPr>
        <w:spacing w:before="0" w:after="0"/>
        <w:ind w:left="120"/>
        <w:jc w:val="center"/>
      </w:pPr>
      <w:r>
        <w:rPr>
          <w:rFonts w:ascii="Times New Roman" w:hAnsi="Times New Roman"/>
          <w:b w:val="false"/>
          <w:i w:val="false"/>
          <w:color w:val="000000"/>
          <w:sz w:val="21"/>
        </w:rPr>
        <w:t>[Filed emergency 3/22/99—published 4/7/99, effective 4/1/99]</w:t>
      </w:r>
    </w:p>
    <w:p>
      <w:pPr>
        <w:spacing w:before="0" w:after="0"/>
        <w:ind w:left="120"/>
        <w:jc w:val="center"/>
      </w:pPr>
      <w:r>
        <w:rPr>
          <w:rFonts w:ascii="Times New Roman" w:hAnsi="Times New Roman"/>
          <w:b w:val="false"/>
          <w:i w:val="false"/>
          <w:color w:val="000000"/>
          <w:sz w:val="21"/>
        </w:rPr>
        <w:t>[Filed 5/21/99, Notice 4/7/99—published 6/16/99, effective 8/1/99]</w:t>
      </w:r>
    </w:p>
    <w:p>
      <w:pPr>
        <w:spacing w:before="0" w:after="0"/>
        <w:ind w:left="120"/>
        <w:jc w:val="center"/>
      </w:pPr>
      <w:r>
        <w:rPr>
          <w:rFonts w:ascii="Times New Roman" w:hAnsi="Times New Roman"/>
          <w:b w:val="false"/>
          <w:i w:val="false"/>
          <w:color w:val="000000"/>
          <w:sz w:val="21"/>
        </w:rPr>
        <w:t>[Filed 9/21/99, Notice 8/11/99—published 10/20/99, effective 12/1/99]</w:t>
      </w:r>
    </w:p>
    <w:p>
      <w:pPr>
        <w:spacing w:before="0" w:after="0"/>
        <w:ind w:left="120"/>
        <w:jc w:val="center"/>
      </w:pPr>
      <w:r>
        <w:rPr>
          <w:rFonts w:ascii="Times New Roman" w:hAnsi="Times New Roman"/>
          <w:b w:val="false"/>
          <w:i w:val="false"/>
          <w:color w:val="000000"/>
          <w:sz w:val="21"/>
        </w:rPr>
        <w:t>[Filed emergency 1/31/00 after Notice 12/15/99—published 2/23/00, effective 2/1/00]</w:t>
      </w:r>
    </w:p>
    <w:p>
      <w:pPr>
        <w:spacing w:before="0" w:after="0"/>
        <w:ind w:left="120"/>
        <w:jc w:val="center"/>
      </w:pPr>
      <w:r>
        <w:rPr>
          <w:rFonts w:ascii="Times New Roman" w:hAnsi="Times New Roman"/>
          <w:b w:val="false"/>
          <w:i w:val="false"/>
          <w:color w:val="000000"/>
          <w:sz w:val="21"/>
        </w:rPr>
        <w:t>[Filed emergency 5/23/00—published 6/14/00, effective 7/1/00]</w:t>
      </w:r>
    </w:p>
    <w:p>
      <w:pPr>
        <w:spacing w:before="0" w:after="0"/>
        <w:ind w:left="120"/>
        <w:jc w:val="center"/>
      </w:pPr>
      <w:r>
        <w:rPr>
          <w:rFonts w:ascii="Times New Roman" w:hAnsi="Times New Roman"/>
          <w:b w:val="false"/>
          <w:i w:val="false"/>
          <w:color w:val="000000"/>
          <w:sz w:val="21"/>
        </w:rPr>
        <w:t>[Filed 8/30/00, Notice 6/14/00—published 9/20/00, effective 11/1/00]</w:t>
      </w:r>
    </w:p>
    <w:p>
      <w:pPr>
        <w:spacing w:before="0" w:after="0"/>
        <w:ind w:left="120"/>
        <w:jc w:val="center"/>
      </w:pPr>
      <w:r>
        <w:rPr>
          <w:rFonts w:ascii="Times New Roman" w:hAnsi="Times New Roman"/>
          <w:b w:val="false"/>
          <w:i w:val="false"/>
          <w:color w:val="000000"/>
          <w:sz w:val="21"/>
        </w:rPr>
        <w:t>[Filed 12/20/00, Notice 10/18/00—published 1/10/01, effective 3/1/01]</w:t>
      </w:r>
    </w:p>
    <w:p>
      <w:pPr>
        <w:spacing w:before="0" w:after="0"/>
        <w:ind w:left="120"/>
        <w:jc w:val="center"/>
      </w:pPr>
      <w:r>
        <w:rPr>
          <w:rFonts w:ascii="Times New Roman" w:hAnsi="Times New Roman"/>
          <w:b w:val="false"/>
          <w:i w:val="false"/>
          <w:color w:val="000000"/>
          <w:sz w:val="21"/>
        </w:rPr>
        <w:t>[Filed 9/19/01, Notice 8/8/01—published 10/17/01, effective 12/1/01]</w:t>
      </w:r>
    </w:p>
    <w:p>
      <w:pPr>
        <w:spacing w:before="0" w:after="0"/>
        <w:ind w:left="120"/>
        <w:jc w:val="center"/>
      </w:pPr>
      <w:r>
        <w:rPr>
          <w:rFonts w:ascii="Times New Roman" w:hAnsi="Times New Roman"/>
          <w:b w:val="false"/>
          <w:i w:val="false"/>
          <w:color w:val="000000"/>
          <w:sz w:val="21"/>
        </w:rPr>
        <w:t>[Filed 10/23/02, Notice 9/4/02—published 11/13/02, effective 1/1/03]</w:t>
      </w:r>
    </w:p>
    <w:p>
      <w:pPr>
        <w:spacing w:before="0" w:after="0"/>
        <w:ind w:left="120"/>
        <w:jc w:val="center"/>
      </w:pPr>
      <w:r>
        <w:rPr>
          <w:rFonts w:ascii="Times New Roman" w:hAnsi="Times New Roman"/>
          <w:b w:val="false"/>
          <w:i w:val="false"/>
          <w:color w:val="000000"/>
          <w:sz w:val="21"/>
        </w:rPr>
        <w:t>[Filed emergency 6/20/03—published 7/9/03, effective 7/1/03]</w:t>
      </w:r>
    </w:p>
    <w:p>
      <w:pPr>
        <w:spacing w:before="0" w:after="0"/>
        <w:ind w:left="120"/>
        <w:jc w:val="center"/>
      </w:pPr>
      <w:r>
        <w:rPr>
          <w:rFonts w:ascii="Times New Roman" w:hAnsi="Times New Roman"/>
          <w:b w:val="false"/>
          <w:i w:val="false"/>
          <w:color w:val="000000"/>
          <w:sz w:val="21"/>
        </w:rPr>
        <w:t>[Filed 10/23/03, Notice 7/9/03—published 11/12/03, effective 1/1/04]</w:t>
      </w:r>
    </w:p>
    <w:p>
      <w:pPr>
        <w:spacing w:before="0" w:after="0"/>
        <w:ind w:left="120"/>
        <w:jc w:val="center"/>
      </w:pPr>
      <w:r>
        <w:rPr>
          <w:rFonts w:ascii="Times New Roman" w:hAnsi="Times New Roman"/>
          <w:b w:val="false"/>
          <w:i w:val="false"/>
          <w:color w:val="000000"/>
          <w:sz w:val="21"/>
        </w:rPr>
        <w:t>[Filed emergency 12/16/03 after Notice 10/29/03—published 1/7/04, effective 1/1/04]</w:t>
      </w:r>
    </w:p>
    <w:p>
      <w:pPr>
        <w:spacing w:before="0" w:after="0"/>
        <w:ind w:left="120"/>
        <w:jc w:val="center"/>
      </w:pPr>
      <w:r>
        <w:rPr>
          <w:rFonts w:ascii="Times New Roman" w:hAnsi="Times New Roman"/>
          <w:b w:val="false"/>
          <w:i w:val="false"/>
          <w:color w:val="000000"/>
          <w:sz w:val="21"/>
        </w:rPr>
        <w:t>[Filed 7/1/04, Notice 5/12/04—published 7/21/04, effective 9/1/04]</w:t>
      </w:r>
    </w:p>
    <w:p>
      <w:pPr>
        <w:spacing w:before="0" w:after="0"/>
        <w:ind w:left="120"/>
        <w:jc w:val="center"/>
      </w:pPr>
      <w:r>
        <w:rPr>
          <w:rFonts w:ascii="Times New Roman" w:hAnsi="Times New Roman"/>
          <w:b w:val="false"/>
          <w:i w:val="false"/>
          <w:color w:val="000000"/>
          <w:sz w:val="21"/>
        </w:rPr>
        <w:t>[Filed emergency 10/19/04 after Notice 7/21/04—published 11/10/04, effective 11/1/04]</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12/22/05, Notice 9/14/05—published 1/18/06, effective 3/1/06]</w:t>
      </w:r>
    </w:p>
    <w:p>
      <w:pPr>
        <w:spacing w:before="0" w:after="0"/>
        <w:ind w:left="120"/>
        <w:jc w:val="center"/>
      </w:pPr>
      <w:r>
        <w:rPr>
          <w:rFonts w:ascii="Times New Roman" w:hAnsi="Times New Roman"/>
          <w:b w:val="false"/>
          <w:i w:val="false"/>
          <w:color w:val="000000"/>
          <w:sz w:val="21"/>
        </w:rPr>
        <w:t>[Filed 2/22/07, Notice 1/17/07—published 3/14/07, effective 4/18/07]</w:t>
      </w:r>
    </w:p>
    <w:p>
      <w:pPr>
        <w:spacing w:before="0" w:after="0"/>
        <w:ind w:left="120"/>
        <w:jc w:val="center"/>
      </w:pPr>
      <w:r>
        <w:rPr>
          <w:rFonts w:ascii="Times New Roman" w:hAnsi="Times New Roman"/>
          <w:b w:val="false"/>
          <w:i w:val="false"/>
          <w:color w:val="000000"/>
          <w:sz w:val="21"/>
        </w:rPr>
        <w:t>[Filed 2/20/08, Notice 11/21/07—published 3/12/08, effective 4/16/08]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4/8/08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4/8/08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6/19/08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10/21/08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7770B</w:t>
      </w:r>
      <w:r>
        <w:rPr>
          <w:rFonts w:ascii="Times New Roman" w:hAnsi="Times New Roman"/>
          <w:b w:val="false"/>
          <w:i w:val="false"/>
          <w:color w:val="000000"/>
          <w:sz w:val="21"/>
        </w:rPr>
        <w:t xml:space="preserve"> (Notice ARC 7635B, IAB 3/11/09)</w:t>
      </w:r>
      <w:r>
        <w:rPr>
          <w:rFonts w:ascii="Times New Roman" w:hAnsi="Times New Roman"/>
          <w:b w:val="false"/>
          <w:i w:val="false"/>
          <w:color w:val="000000"/>
          <w:sz w:val="21"/>
        </w:rPr>
        <w:t>, IAB 5/20/09, effective 7/1/09]</w:t>
      </w:r>
    </w:p>
    <w:p>
      <w:pPr>
        <w:spacing w:before="0" w:after="0"/>
        <w:ind w:left="120"/>
        <w:jc w:val="center"/>
      </w:pPr>
      <w:r>
        <w:rPr>
          <w:rFonts w:ascii="Times New Roman" w:hAnsi="Times New Roman"/>
          <w:b w:val="false"/>
          <w:i w:val="false"/>
          <w:color w:val="000000"/>
          <w:sz w:val="21"/>
        </w:rPr>
        <w:t>[Filed Emergency ARC 7881B, IAB 7/1/09, effective 7/1/09]</w:t>
      </w:r>
    </w:p>
    <w:p>
      <w:pPr>
        <w:spacing w:before="0" w:after="0"/>
        <w:ind w:left="120"/>
        <w:jc w:val="center"/>
      </w:pPr>
      <w:r>
        <w:rPr>
          <w:rFonts w:ascii="Times New Roman" w:hAnsi="Times New Roman"/>
          <w:b w:val="false"/>
          <w:i w:val="false"/>
          <w:color w:val="000000"/>
          <w:sz w:val="21"/>
        </w:rPr>
        <w:t>[Filed Emergency ARC 8127B, IAB 9/9/09, effective 9/1/09]</w:t>
      </w:r>
      <w:r>
        <w:rPr>
          <w:rFonts w:ascii="Times New Roman" w:hAnsi="Times New Roman"/>
          <w:b w:val="false"/>
          <w:i w:val="false"/>
          <w:color w:val="000000"/>
          <w:sz w:val="21"/>
        </w:rPr>
        <w:t>[Filed ARC 8109B</w:t>
      </w:r>
      <w:r>
        <w:rPr>
          <w:rFonts w:ascii="Times New Roman" w:hAnsi="Times New Roman"/>
          <w:b w:val="false"/>
          <w:i w:val="false"/>
          <w:color w:val="000000"/>
          <w:sz w:val="21"/>
        </w:rPr>
        <w:t xml:space="preserve"> (Notice ARC 7882B, IAB 7/1/09)</w:t>
      </w:r>
      <w:r>
        <w:rPr>
          <w:rFonts w:ascii="Times New Roman" w:hAnsi="Times New Roman"/>
          <w:b w:val="false"/>
          <w:i w:val="false"/>
          <w:color w:val="000000"/>
          <w:sz w:val="21"/>
        </w:rPr>
        <w:t>, IAB 9/9/09, effective 10/14/09]</w:t>
      </w:r>
    </w:p>
    <w:p>
      <w:pPr>
        <w:spacing w:before="0" w:after="0"/>
        <w:ind w:left="120"/>
        <w:jc w:val="center"/>
      </w:pPr>
      <w:r>
        <w:rPr>
          <w:rFonts w:ascii="Times New Roman" w:hAnsi="Times New Roman"/>
          <w:b w:val="false"/>
          <w:i w:val="false"/>
          <w:color w:val="000000"/>
          <w:sz w:val="21"/>
        </w:rPr>
        <w:t>[Filed ARC 8281B</w:t>
      </w:r>
      <w:r>
        <w:rPr>
          <w:rFonts w:ascii="Times New Roman" w:hAnsi="Times New Roman"/>
          <w:b w:val="false"/>
          <w:i w:val="false"/>
          <w:color w:val="000000"/>
          <w:sz w:val="21"/>
        </w:rPr>
        <w:t xml:space="preserve"> (Notice ARC 8128B, IAB 9/9/09)</w:t>
      </w:r>
      <w:r>
        <w:rPr>
          <w:rFonts w:ascii="Times New Roman" w:hAnsi="Times New Roman"/>
          <w:b w:val="false"/>
          <w:i w:val="false"/>
          <w:color w:val="000000"/>
          <w:sz w:val="21"/>
        </w:rPr>
        <w:t>, IAB 11/18/09, effective 12/23/09]</w:t>
      </w:r>
      <w:r>
        <w:br/>
      </w:r>
      <w:r>
        <w:rPr>
          <w:rFonts w:ascii="Times New Roman" w:hAnsi="Times New Roman"/>
          <w:b w:val="false"/>
          <w:i w:val="false"/>
          <w:color w:val="000000"/>
          <w:sz w:val="21"/>
        </w:rPr>
        <w:t>[Filed ARC 8280B</w:t>
      </w:r>
      <w:r>
        <w:rPr>
          <w:rFonts w:ascii="Times New Roman" w:hAnsi="Times New Roman"/>
          <w:b w:val="false"/>
          <w:i w:val="false"/>
          <w:color w:val="000000"/>
          <w:sz w:val="21"/>
        </w:rPr>
        <w:t xml:space="preserve"> (Notice ARC 8110B, IAB 9/9/09)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8478B</w:t>
      </w:r>
      <w:r>
        <w:rPr>
          <w:rFonts w:ascii="Times New Roman" w:hAnsi="Times New Roman"/>
          <w:b w:val="false"/>
          <w:i w:val="false"/>
          <w:color w:val="000000"/>
          <w:sz w:val="21"/>
        </w:rPr>
        <w:t xml:space="preserve"> (Notice ARC 8112B, IAB 9/9/09)</w:t>
      </w:r>
      <w:r>
        <w:rPr>
          <w:rFonts w:ascii="Times New Roman" w:hAnsi="Times New Roman"/>
          <w:b w:val="false"/>
          <w:i w:val="false"/>
          <w:color w:val="000000"/>
          <w:sz w:val="21"/>
        </w:rPr>
        <w:t>, IAB 1/13/10, effective 3/1/10]</w:t>
      </w:r>
    </w:p>
    <w:p>
      <w:pPr>
        <w:spacing w:before="0" w:after="0"/>
        <w:ind w:left="120"/>
        <w:jc w:val="center"/>
      </w:pPr>
      <w:r>
        <w:rPr>
          <w:rFonts w:ascii="Times New Roman" w:hAnsi="Times New Roman"/>
          <w:b w:val="false"/>
          <w:i w:val="false"/>
          <w:color w:val="000000"/>
          <w:sz w:val="21"/>
        </w:rPr>
        <w:t>[Filed Emergency After Notice ARC 8580B</w:t>
      </w:r>
      <w:r>
        <w:rPr>
          <w:rFonts w:ascii="Times New Roman" w:hAnsi="Times New Roman"/>
          <w:b w:val="false"/>
          <w:i w:val="false"/>
          <w:color w:val="000000"/>
          <w:sz w:val="21"/>
        </w:rPr>
        <w:t xml:space="preserve"> (Notice ARC 8279B, IAB 11/18/09)</w:t>
      </w:r>
      <w:r>
        <w:rPr>
          <w:rFonts w:ascii="Times New Roman" w:hAnsi="Times New Roman"/>
          <w:b w:val="false"/>
          <w:i w:val="false"/>
          <w:color w:val="000000"/>
          <w:sz w:val="21"/>
        </w:rPr>
        <w:t>, IAB 3/10/10, effective 3/1/10]</w:t>
      </w:r>
    </w:p>
    <w:p>
      <w:pPr>
        <w:spacing w:before="0" w:after="0"/>
        <w:ind w:left="120"/>
        <w:jc w:val="center"/>
      </w:pPr>
      <w:r>
        <w:rPr>
          <w:rFonts w:ascii="Times New Roman" w:hAnsi="Times New Roman"/>
          <w:b w:val="false"/>
          <w:i w:val="false"/>
          <w:color w:val="000000"/>
          <w:sz w:val="21"/>
        </w:rPr>
        <w:t>[Filed Emergency After Notice ARC 8838B</w:t>
      </w:r>
      <w:r>
        <w:rPr>
          <w:rFonts w:ascii="Times New Roman" w:hAnsi="Times New Roman"/>
          <w:b w:val="false"/>
          <w:i w:val="false"/>
          <w:color w:val="000000"/>
          <w:sz w:val="21"/>
        </w:rPr>
        <w:t xml:space="preserve"> (Notice ARC 8479B, IAB 1/13/10)</w:t>
      </w:r>
      <w:r>
        <w:rPr>
          <w:rFonts w:ascii="Times New Roman" w:hAnsi="Times New Roman"/>
          <w:b w:val="false"/>
          <w:i w:val="false"/>
          <w:color w:val="000000"/>
          <w:sz w:val="21"/>
        </w:rPr>
        <w:t>, IAB 6/16/10, effective 6/1/10]</w:t>
      </w:r>
      <w:r>
        <w:br/>
      </w:r>
      <w:r>
        <w:rPr>
          <w:rFonts w:ascii="Times New Roman" w:hAnsi="Times New Roman"/>
          <w:b w:val="false"/>
          <w:i w:val="false"/>
          <w:color w:val="000000"/>
          <w:sz w:val="21"/>
        </w:rPr>
        <w:t>[Filed ARC 8839B</w:t>
      </w:r>
      <w:r>
        <w:rPr>
          <w:rFonts w:ascii="Times New Roman" w:hAnsi="Times New Roman"/>
          <w:b w:val="false"/>
          <w:i w:val="false"/>
          <w:color w:val="000000"/>
          <w:sz w:val="21"/>
        </w:rPr>
        <w:t xml:space="preserve"> (Notice ARC 8581B, IAB 3/10/10)</w:t>
      </w:r>
      <w:r>
        <w:rPr>
          <w:rFonts w:ascii="Times New Roman" w:hAnsi="Times New Roman"/>
          <w:b w:val="false"/>
          <w:i w:val="false"/>
          <w:color w:val="000000"/>
          <w:sz w:val="21"/>
        </w:rPr>
        <w:t>, IAB 6/16/10, effective 8/1/10]</w:t>
      </w:r>
    </w:p>
    <w:p>
      <w:pPr>
        <w:spacing w:before="0" w:after="0"/>
        <w:ind w:left="120"/>
        <w:jc w:val="center"/>
      </w:pPr>
      <w:r>
        <w:rPr>
          <w:rFonts w:ascii="Times New Roman" w:hAnsi="Times New Roman"/>
          <w:b w:val="false"/>
          <w:i w:val="false"/>
          <w:color w:val="000000"/>
          <w:sz w:val="21"/>
        </w:rPr>
        <w:t>[Filed Emergency After Notice ARC 9083B</w:t>
      </w:r>
      <w:r>
        <w:rPr>
          <w:rFonts w:ascii="Times New Roman" w:hAnsi="Times New Roman"/>
          <w:b w:val="false"/>
          <w:i w:val="false"/>
          <w:color w:val="000000"/>
          <w:sz w:val="21"/>
        </w:rPr>
        <w:t xml:space="preserve"> (Notice ARC 8840B, IAB 6/16/10)</w:t>
      </w:r>
      <w:r>
        <w:rPr>
          <w:rFonts w:ascii="Times New Roman" w:hAnsi="Times New Roman"/>
          <w:b w:val="false"/>
          <w:i w:val="false"/>
          <w:color w:val="000000"/>
          <w:sz w:val="21"/>
        </w:rPr>
        <w:t>, IAB 9/22/10, effective 9/1/10]</w:t>
      </w:r>
      <w:r>
        <w:br/>
      </w:r>
      <w:r>
        <w:rPr>
          <w:rFonts w:ascii="Times New Roman" w:hAnsi="Times New Roman"/>
          <w:b w:val="false"/>
          <w:i w:val="false"/>
          <w:color w:val="000000"/>
          <w:sz w:val="21"/>
        </w:rPr>
        <w:t>[Filed Emergency After Notice ARC 9084B</w:t>
      </w:r>
      <w:r>
        <w:rPr>
          <w:rFonts w:ascii="Times New Roman" w:hAnsi="Times New Roman"/>
          <w:b w:val="false"/>
          <w:i w:val="false"/>
          <w:color w:val="000000"/>
          <w:sz w:val="21"/>
        </w:rPr>
        <w:t xml:space="preserve"> (Notice ARC 8841B, IAB 6/16/10)</w:t>
      </w:r>
      <w:r>
        <w:rPr>
          <w:rFonts w:ascii="Times New Roman" w:hAnsi="Times New Roman"/>
          <w:b w:val="false"/>
          <w:i w:val="false"/>
          <w:color w:val="000000"/>
          <w:sz w:val="21"/>
        </w:rPr>
        <w:t>, IAB 9/22/10, effective 9/1/10]</w:t>
      </w:r>
    </w:p>
    <w:p>
      <w:pPr>
        <w:spacing w:before="0" w:after="0"/>
        <w:ind w:left="120"/>
        <w:jc w:val="center"/>
      </w:pPr>
      <w:r>
        <w:rPr>
          <w:rFonts w:ascii="Times New Roman" w:hAnsi="Times New Roman"/>
          <w:b w:val="false"/>
          <w:i w:val="false"/>
          <w:color w:val="000000"/>
          <w:sz w:val="21"/>
        </w:rPr>
        <w:t>[Filed ARC 0552C</w:t>
      </w:r>
      <w:r>
        <w:rPr>
          <w:rFonts w:ascii="Times New Roman" w:hAnsi="Times New Roman"/>
          <w:b w:val="false"/>
          <w:i w:val="false"/>
          <w:color w:val="000000"/>
          <w:sz w:val="21"/>
        </w:rPr>
        <w:t xml:space="preserve"> (Notice ARC 0332C, IAB 9/19/12)</w:t>
      </w:r>
      <w:r>
        <w:rPr>
          <w:rFonts w:ascii="Times New Roman" w:hAnsi="Times New Roman"/>
          <w:b w:val="false"/>
          <w:i w:val="false"/>
          <w:color w:val="000000"/>
          <w:sz w:val="21"/>
        </w:rPr>
        <w:t>, IAB 1/9/13, effective 4/1/13]</w:t>
      </w:r>
    </w:p>
    <w:p>
      <w:pPr>
        <w:spacing w:before="0" w:after="0"/>
        <w:ind w:left="120"/>
        <w:jc w:val="center"/>
      </w:pPr>
      <w:r>
        <w:rPr>
          <w:rFonts w:ascii="Times New Roman" w:hAnsi="Times New Roman"/>
          <w:b w:val="false"/>
          <w:i w:val="false"/>
          <w:color w:val="000000"/>
          <w:sz w:val="21"/>
        </w:rPr>
        <w:t>[Filed ARC 0837C</w:t>
      </w:r>
      <w:r>
        <w:rPr>
          <w:rFonts w:ascii="Times New Roman" w:hAnsi="Times New Roman"/>
          <w:b w:val="false"/>
          <w:i w:val="false"/>
          <w:color w:val="000000"/>
          <w:sz w:val="21"/>
        </w:rPr>
        <w:t xml:space="preserve"> (Notice ARC 0747C, IAB 5/15/13)</w:t>
      </w:r>
      <w:r>
        <w:rPr>
          <w:rFonts w:ascii="Times New Roman" w:hAnsi="Times New Roman"/>
          <w:b w:val="false"/>
          <w:i w:val="false"/>
          <w:color w:val="000000"/>
          <w:sz w:val="21"/>
        </w:rPr>
        <w:t>, IAB 7/24/13, effective 10/1/13]</w:t>
      </w:r>
    </w:p>
    <w:p>
      <w:pPr>
        <w:spacing w:before="0" w:after="0"/>
        <w:ind w:left="120"/>
        <w:jc w:val="center"/>
      </w:pPr>
      <w:r>
        <w:rPr>
          <w:rFonts w:ascii="Times New Roman" w:hAnsi="Times New Roman"/>
          <w:b w:val="false"/>
          <w:i w:val="false"/>
          <w:color w:val="000000"/>
          <w:sz w:val="21"/>
        </w:rPr>
        <w:t>[Filed Emergency After Notice ARC 1287C</w:t>
      </w:r>
      <w:r>
        <w:rPr>
          <w:rFonts w:ascii="Times New Roman" w:hAnsi="Times New Roman"/>
          <w:b w:val="false"/>
          <w:i w:val="false"/>
          <w:color w:val="000000"/>
          <w:sz w:val="21"/>
        </w:rPr>
        <w:t xml:space="preserve"> (Notice ARC 1183C, IAB 11/13/13)</w:t>
      </w:r>
      <w:r>
        <w:rPr>
          <w:rFonts w:ascii="Times New Roman" w:hAnsi="Times New Roman"/>
          <w:b w:val="false"/>
          <w:i w:val="false"/>
          <w:color w:val="000000"/>
          <w:sz w:val="21"/>
        </w:rPr>
        <w:t>, IAB 1/8/14, effective 1/1/14]</w:t>
      </w:r>
    </w:p>
    <w:p>
      <w:pPr>
        <w:spacing w:before="0" w:after="0"/>
        <w:ind w:left="120"/>
        <w:jc w:val="center"/>
      </w:pPr>
      <w:r>
        <w:rPr>
          <w:rFonts w:ascii="Times New Roman" w:hAnsi="Times New Roman"/>
          <w:b w:val="false"/>
          <w:i w:val="false"/>
          <w:color w:val="000000"/>
          <w:sz w:val="21"/>
        </w:rPr>
        <w:t>[Filed ARC 2912C</w:t>
      </w:r>
      <w:r>
        <w:rPr>
          <w:rFonts w:ascii="Times New Roman" w:hAnsi="Times New Roman"/>
          <w:b w:val="false"/>
          <w:i w:val="false"/>
          <w:color w:val="000000"/>
          <w:sz w:val="21"/>
        </w:rPr>
        <w:t xml:space="preserve"> (Notice ARC 2784C, IAB 10/26/16)</w:t>
      </w:r>
      <w:r>
        <w:rPr>
          <w:rFonts w:ascii="Times New Roman" w:hAnsi="Times New Roman"/>
          <w:b w:val="false"/>
          <w:i w:val="false"/>
          <w:color w:val="000000"/>
          <w:sz w:val="21"/>
        </w:rPr>
        <w:t>, IAB 1/18/17, effective 3/1/17]</w:t>
      </w:r>
    </w:p>
    <w:p>
      <w:pPr>
        <w:spacing w:before="0" w:after="0"/>
        <w:ind w:left="120"/>
        <w:jc w:val="center"/>
      </w:pPr>
      <w:r>
        <w:rPr>
          <w:rFonts w:ascii="Times New Roman" w:hAnsi="Times New Roman"/>
          <w:b w:val="false"/>
          <w:i w:val="false"/>
          <w:color w:val="000000"/>
          <w:sz w:val="21"/>
        </w:rPr>
        <w:t>[Filed ARC 4779C</w:t>
      </w:r>
      <w:r>
        <w:rPr>
          <w:rFonts w:ascii="Times New Roman" w:hAnsi="Times New Roman"/>
          <w:b w:val="false"/>
          <w:i w:val="false"/>
          <w:color w:val="000000"/>
          <w:sz w:val="21"/>
        </w:rPr>
        <w:t xml:space="preserve"> (Notice ARC 4627C, IAB 8/28/19)</w:t>
      </w:r>
      <w:r>
        <w:rPr>
          <w:rFonts w:ascii="Times New Roman" w:hAnsi="Times New Roman"/>
          <w:b w:val="false"/>
          <w:i w:val="false"/>
          <w:color w:val="000000"/>
          <w:sz w:val="21"/>
        </w:rPr>
        <w:t>, IAB 11/20/19, effective 12/25/19]</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5141C</w:t>
      </w:r>
      <w:r>
        <w:rPr>
          <w:rFonts w:ascii="Times New Roman" w:hAnsi="Times New Roman"/>
          <w:b w:val="false"/>
          <w:i w:val="false"/>
          <w:color w:val="000000"/>
          <w:sz w:val="21"/>
        </w:rPr>
        <w:t xml:space="preserve"> (Notice ARC 4912C, IAB 2/12/20)</w:t>
      </w:r>
      <w:r>
        <w:rPr>
          <w:rFonts w:ascii="Times New Roman" w:hAnsi="Times New Roman"/>
          <w:b w:val="false"/>
          <w:i w:val="false"/>
          <w:color w:val="000000"/>
          <w:sz w:val="21"/>
        </w:rPr>
        <w:t>, IAB 8/12/20, effective 12/1/20]</w:t>
      </w:r>
    </w:p>
    <w:p>
      <w:pPr>
        <w:spacing w:before="0" w:after="0"/>
        <w:ind w:left="120"/>
        <w:jc w:val="center"/>
      </w:pPr>
      <w:r>
        <w:rPr>
          <w:rFonts w:ascii="Times New Roman" w:hAnsi="Times New Roman"/>
          <w:b w:val="false"/>
          <w:i w:val="false"/>
          <w:color w:val="000000"/>
          <w:sz w:val="21"/>
        </w:rPr>
        <w:t>[Filed ARC 9468C</w:t>
      </w:r>
      <w:r>
        <w:rPr>
          <w:rFonts w:ascii="Times New Roman" w:hAnsi="Times New Roman"/>
          <w:b w:val="false"/>
          <w:i w:val="false"/>
          <w:color w:val="000000"/>
          <w:sz w:val="21"/>
        </w:rPr>
        <w:t xml:space="preserve"> (Notice ARC 8571C, IAB 12/25/24)</w:t>
      </w:r>
      <w:r>
        <w:rPr>
          <w:rFonts w:ascii="Times New Roman" w:hAnsi="Times New Roman"/>
          <w:b w:val="false"/>
          <w:i w:val="false"/>
          <w:color w:val="000000"/>
          <w:sz w:val="21"/>
        </w:rPr>
        <w:t>, IAB 8/6/25, effective 10/1/25]</w:t>
      </w:r>
    </w:p>
    <w:p>
      <w:pPr>
        <w:spacing w:before="0" w:after="0"/>
        <w:ind w:left="120"/>
        <w:jc w:val="center"/>
      </w:pPr>
      <w:r>
        <w:rPr>
          <w:rFonts w:ascii="Times New Roman" w:hAnsi="Times New Roman"/>
          <w:b w:val="false"/>
          <w:i w:val="false"/>
          <w:color w:val="000000"/>
          <w:sz w:val="21"/>
        </w:rPr>
        <w:t>[Filed ARC 9952C</w:t>
      </w:r>
      <w:r>
        <w:rPr>
          <w:rFonts w:ascii="Times New Roman" w:hAnsi="Times New Roman"/>
          <w:b w:val="false"/>
          <w:i w:val="false"/>
          <w:color w:val="000000"/>
          <w:sz w:val="21"/>
        </w:rPr>
        <w:t xml:space="preserve"> (Notice ARC 9660C, IAB 11/12/25)</w:t>
      </w:r>
      <w:r>
        <w:rPr>
          <w:rFonts w:ascii="Times New Roman" w:hAnsi="Times New Roman"/>
          <w:b w:val="false"/>
          <w:i w:val="false"/>
          <w:color w:val="000000"/>
          <w:sz w:val="21"/>
        </w:rPr>
        <w:t>, IAB 1/7/26, effective 3/1/26]</w:t>
      </w:r>
    </w:p>
    <w:p>
      <w:pPr>
        <w:spacing w:before="0" w:after="0"/>
        <w:ind w:left="120"/>
        <w:jc w:val="center"/>
      </w:pPr>
      <w:r>
        <w:rPr>
          <w:rFonts w:ascii="Times New Roman" w:hAnsi="Times New Roman"/>
          <w:b w:val="false"/>
          <w:i w:val="false"/>
          <w:color w:val="000000"/>
          <w:sz w:val="21"/>
        </w:rPr>
        <w:t>[Editorial change: IAC Supplement 6/10/26]</w:t>
      </w:r>
    </w:p>
    <w:sectPr>
      <w:footerReference r:id="rId5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41.86.10.pdf" Type="http://schemas.openxmlformats.org/officeDocument/2006/relationships/hyperlink" Id="rId5"/>
    <Relationship TargetMode="External" Target="https://www.legis.iowa.gov/docs/ico/chapter/514I.10.pdf" Type="http://schemas.openxmlformats.org/officeDocument/2006/relationships/hyperlink" Id="rId6"/>
    <Relationship TargetMode="External" Target="https://www.legis.iowa.gov/docs/iac/rule/441.86.14.pdf" Type="http://schemas.openxmlformats.org/officeDocument/2006/relationships/hyperlink" Id="rId7"/>
    <Relationship TargetMode="External" Target="https://www.legis.iowa.gov/docs/iac/rule/441.86.2.pdf" Type="http://schemas.openxmlformats.org/officeDocument/2006/relationships/hyperlink" Id="rId8"/>
    <Relationship TargetMode="External" Target="https://www.legis.iowa.gov/docs/ico/chapter/249A.4B.pdf" Type="http://schemas.openxmlformats.org/officeDocument/2006/relationships/hyperlink" Id="rId9"/>
    <Relationship TargetMode="External" Target="https://www.legis.iowa.gov/docs/ico/chapter/135.1.pdf" Type="http://schemas.openxmlformats.org/officeDocument/2006/relationships/hyperlink" Id="rId10"/>
    <Relationship TargetMode="External" Target="https://www.legis.iowa.gov/docs/iac/rule/441.86.8.pdf" Type="http://schemas.openxmlformats.org/officeDocument/2006/relationships/hyperlink" Id="rId11"/>
    <Relationship TargetMode="External" Target="https://www.legis.iowa.gov/docs/iac/rule/441.75.1.pdf" Type="http://schemas.openxmlformats.org/officeDocument/2006/relationships/hyperlink" Id="rId12"/>
    <Relationship TargetMode="External" Target="https://www.legis.iowa.gov/docs/iac/rule/441.75.10.pdf" Type="http://schemas.openxmlformats.org/officeDocument/2006/relationships/hyperlink" Id="rId13"/>
    <Relationship TargetMode="External" Target="https://www.legis.iowa.gov/docs/iac/rule/441.75.11.pdf" Type="http://schemas.openxmlformats.org/officeDocument/2006/relationships/hyperlink" Id="rId14"/>
    <Relationship TargetMode="External" Target="https://www.legis.iowa.gov/docs/iac/rule/441.75.11.pdf" Type="http://schemas.openxmlformats.org/officeDocument/2006/relationships/hyperlink" Id="rId15"/>
    <Relationship TargetMode="External" Target="https://www.legis.iowa.gov/docs/iac/rule/441.86.2.pdf" Type="http://schemas.openxmlformats.org/officeDocument/2006/relationships/hyperlink" Id="rId16"/>
    <Relationship TargetMode="External" Target="https://www.legis.iowa.gov/docs/iac/rule/441.75.11.pdf" Type="http://schemas.openxmlformats.org/officeDocument/2006/relationships/hyperlink" Id="rId17"/>
    <Relationship TargetMode="External" Target="https://www.legis.iowa.gov/docs/iac/rule/441.75.11.pdf" Type="http://schemas.openxmlformats.org/officeDocument/2006/relationships/hyperlink" Id="rId18"/>
    <Relationship TargetMode="External" Target="https://www.legis.iowa.gov/docs/iac/rule/441.75.7.pdf" Type="http://schemas.openxmlformats.org/officeDocument/2006/relationships/hyperlink" Id="rId19"/>
    <Relationship TargetMode="External" Target="https://www.legis.iowa.gov/docs/iac/rule/441.76.1.pdf" Type="http://schemas.openxmlformats.org/officeDocument/2006/relationships/hyperlink" Id="rId20"/>
    <Relationship TargetMode="External" Target="https://www.legis.iowa.gov/docs/iac/rule/441.86.20.pdf" Type="http://schemas.openxmlformats.org/officeDocument/2006/relationships/hyperlink" Id="rId21"/>
    <Relationship TargetMode="External" Target="https://www.legis.iowa.gov/docs/iac/rule/441.76.1.pdf" Type="http://schemas.openxmlformats.org/officeDocument/2006/relationships/hyperlink" Id="rId22"/>
    <Relationship TargetMode="External" Target="https://www.legis.iowa.gov/docs/iac/rule/441.75.1.pdf" Type="http://schemas.openxmlformats.org/officeDocument/2006/relationships/hyperlink" Id="rId23"/>
    <Relationship TargetMode="External" Target="https://www.legis.iowa.gov/docs/iac/rule/441.75.1.pdf" Type="http://schemas.openxmlformats.org/officeDocument/2006/relationships/hyperlink" Id="rId24"/>
    <Relationship TargetMode="External" Target="https://www.legis.iowa.gov/docs/iac/rule/441.75.1.pdf" Type="http://schemas.openxmlformats.org/officeDocument/2006/relationships/hyperlink" Id="rId25"/>
    <Relationship TargetMode="External" Target="https://www.legis.iowa.gov/docs/iac/rule/441.75.1.pdf" Type="http://schemas.openxmlformats.org/officeDocument/2006/relationships/hyperlink" Id="rId26"/>
    <Relationship TargetMode="External" Target="https://www.legis.iowa.gov/docs/iac/rule/441.75.1.pdf" Type="http://schemas.openxmlformats.org/officeDocument/2006/relationships/hyperlink" Id="rId27"/>
    <Relationship TargetMode="External" Target="https://www.legis.iowa.gov/docs/iac/rule/441.75.1.pdf" Type="http://schemas.openxmlformats.org/officeDocument/2006/relationships/hyperlink" Id="rId28"/>
    <Relationship TargetMode="External" Target="https://www.legis.iowa.gov/docs/iac/rule/441.86.2.pdf" Type="http://schemas.openxmlformats.org/officeDocument/2006/relationships/hyperlink" Id="rId29"/>
    <Relationship TargetMode="External" Target="https://www.legis.iowa.gov/docs/iac/rule/441.86.6.pdf" Type="http://schemas.openxmlformats.org/officeDocument/2006/relationships/hyperlink" Id="rId30"/>
    <Relationship TargetMode="External" Target="https://www.legis.iowa.gov/docs/iac/rule/441.86.6.pdf" Type="http://schemas.openxmlformats.org/officeDocument/2006/relationships/hyperlink" Id="rId31"/>
    <Relationship TargetMode="External" Target="https://www.legis.iowa.gov/docs/iac/rule/441.86.7.pdf" Type="http://schemas.openxmlformats.org/officeDocument/2006/relationships/hyperlink" Id="rId32"/>
    <Relationship TargetMode="External" Target="https://www.legis.iowa.gov/docs/iac/rule/441.86.6.pdf" Type="http://schemas.openxmlformats.org/officeDocument/2006/relationships/hyperlink" Id="rId33"/>
    <Relationship TargetMode="External" Target="https://www.legis.iowa.gov/docs/iac/rule/441.75.10.pdf" Type="http://schemas.openxmlformats.org/officeDocument/2006/relationships/hyperlink" Id="rId34"/>
    <Relationship TargetMode="External" Target="https://www.legis.iowa.gov/docs/iac/rule/441.86.20.pdf" Type="http://schemas.openxmlformats.org/officeDocument/2006/relationships/hyperlink" Id="rId35"/>
    <Relationship TargetMode="External" Target="https://www.legis.iowa.gov/docs/iac/rule/441.86.8.pdf" Type="http://schemas.openxmlformats.org/officeDocument/2006/relationships/hyperlink" Id="rId36"/>
    <Relationship TargetMode="External" Target="https://www.legis.iowa.gov/docs/iac/rule/441.86.3.pdf" Type="http://schemas.openxmlformats.org/officeDocument/2006/relationships/hyperlink" Id="rId37"/>
    <Relationship TargetMode="External" Target="https://www.legis.iowa.gov/docs/iac/rule/441.86.3.pdf" Type="http://schemas.openxmlformats.org/officeDocument/2006/relationships/hyperlink" Id="rId38"/>
    <Relationship TargetMode="External" Target="https://www.legis.iowa.gov/docs/iac/rule/441.86.11.pdf" Type="http://schemas.openxmlformats.org/officeDocument/2006/relationships/hyperlink" Id="rId39"/>
    <Relationship TargetMode="External" Target="https://www.legis.iowa.gov/docs/iac/rule/441.86.3.pdf" Type="http://schemas.openxmlformats.org/officeDocument/2006/relationships/hyperlink" Id="rId40"/>
    <Relationship TargetMode="External" Target="https://www.legis.iowa.gov/docs/iac/rule/441.16.2.pdf" Type="http://schemas.openxmlformats.org/officeDocument/2006/relationships/hyperlink" Id="rId41"/>
    <Relationship TargetMode="External" Target="https://www.legis.iowa.gov/docs/iac/chapter/441.2506.pdf" Type="http://schemas.openxmlformats.org/officeDocument/2006/relationships/hyperlink" Id="rId42"/>
    <Relationship TargetMode="External" Target="https://www.legis.iowa.gov/docs/iac/rule/441.86.13.pdf" Type="http://schemas.openxmlformats.org/officeDocument/2006/relationships/hyperlink" Id="rId43"/>
    <Relationship TargetMode="External" Target="https://www.legis.iowa.gov/docs/iac/rule/441.79.3.pdf" Type="http://schemas.openxmlformats.org/officeDocument/2006/relationships/hyperlink" Id="rId44"/>
    <Relationship TargetMode="External" Target="https://www.legis.iowa.gov/docs/ico/chapter/228.7.pdf" Type="http://schemas.openxmlformats.org/officeDocument/2006/relationships/hyperlink" Id="rId45"/>
    <Relationship TargetMode="External" Target="https://www.legis.iowa.gov/docs/iac/rule/441.86.14.pdf" Type="http://schemas.openxmlformats.org/officeDocument/2006/relationships/hyperlink" Id="rId46"/>
    <Relationship TargetMode="External" Target="https://www.legis.iowa.gov/docs/iac/chapter/441.11.pdf" Type="http://schemas.openxmlformats.org/officeDocument/2006/relationships/hyperlink" Id="rId47"/>
    <Relationship TargetMode="External" Target="https://www.legis.iowa.gov/docs/iac/chapter/441.2506.pdf" Type="http://schemas.openxmlformats.org/officeDocument/2006/relationships/hyperlink" Id="rId48"/>
    <Relationship TargetMode="External" Target="https://www.legis.iowa.gov/docs/iac/rule/441.86.2.pdf" Type="http://schemas.openxmlformats.org/officeDocument/2006/relationships/hyperlink" Id="rId49"/>
    <Relationship TargetMode="External" Target="https://www.legis.iowa.gov/docs/iac/rule/441.86.12.pdf" Type="http://schemas.openxmlformats.org/officeDocument/2006/relationships/hyperlink" Id="rId50"/>
    <Relationship TargetMode="External" Target="https://www.legis.iowa.gov/docs/iac/rule/441.86.17.pdf" Type="http://schemas.openxmlformats.org/officeDocument/2006/relationships/hyperlink" Id="rId51"/>
    <Relationship TargetMode="External" Target="https://www.legis.iowa.gov/docs/iac/rule/441.86.8.pdf" Type="http://schemas.openxmlformats.org/officeDocument/2006/relationships/hyperlink" Id="rId52"/>
    <Relationship TargetMode="External" Target="https://www.legis.iowa.gov/docs/iac/rule/441.86.8.pdf" Type="http://schemas.openxmlformats.org/officeDocument/2006/relationships/hyperlink" Id="rId53"/>
    <Relationship TargetMode="External" Target="https://www.legis.iowa.gov/docs/iac/rule/441.86.3.pdf" Type="http://schemas.openxmlformats.org/officeDocument/2006/relationships/hyperlink" Id="rId54"/>
    <Relationship TargetMode="External" Target="https://www.legis.iowa.gov/docs/ico/chapter/514I.pdf" Type="http://schemas.openxmlformats.org/officeDocument/2006/relationships/hyperlink" Id="rId55"/>
    <Relationship Target="footer.xml" Type="http://schemas.openxmlformats.org/officeDocument/2006/relationships/footer" Id="rId5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