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84</w:t>
      </w:r>
    </w:p>
    <w:p>
      <w:pPr>
        <w:spacing w:before="0" w:after="0"/>
        <w:ind w:left="120"/>
        <w:jc w:val="center"/>
      </w:pPr>
      <w:r>
        <w:rPr>
          <w:rFonts w:ascii="Times New Roman" w:hAnsi="Times New Roman"/>
          <w:b w:val="false"/>
          <w:i w:val="false"/>
          <w:color w:val="000000"/>
          <w:sz w:val="21"/>
        </w:rPr>
        <w:t>EARLY AND PERIODIC SCREENING, DIAGNOSIS, AND TREATMENT</w:t>
      </w:r>
    </w:p>
    <w:p>
      <w:pPr>
        <w:spacing w:before="0" w:after="0"/>
        <w:ind w:left="120"/>
        <w:jc w:val="center"/>
      </w:pPr>
      <w:r>
        <w:rPr>
          <w:rFonts w:ascii="Times New Roman" w:hAnsi="Times New Roman"/>
          <w:b w:val="false"/>
          <w:i w:val="false"/>
          <w:color w:val="000000"/>
          <w:sz w:val="14"/>
        </w:rPr>
        <w:t>[Prior to 7/1/83, Social Services [770] Ch 84]</w:t>
      </w:r>
    </w:p>
    <w:p>
      <w:pPr>
        <w:spacing w:before="0" w:after="0"/>
        <w:ind w:left="120"/>
        <w:jc w:val="center"/>
      </w:pPr>
      <w:r>
        <w:rPr>
          <w:rFonts w:ascii="Times New Roman" w:hAnsi="Times New Roman"/>
          <w:b w:val="false"/>
          <w:i w:val="false"/>
          <w:color w:val="000000"/>
          <w:sz w:val="14"/>
        </w:rPr>
        <w:t>[Prior to 2/11/87, Human Services[498]]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6/1/30</w:t>
      </w:r>
    </w:p>
    <w:p>
      <w:pPr>
        <w:spacing w:before="0" w:after="0"/>
        <w:ind w:left="120"/>
        <w:jc w:val="both"/>
      </w:pPr>
      <w:r>
        <w:rPr>
          <w:rFonts w:ascii="Times New Roman" w:hAnsi="Times New Roman"/>
          <w:b/>
          <w:i w:val="false"/>
          <w:color w:val="000000"/>
          <w:sz w:val="22"/>
        </w:rPr>
        <w:t>441—84.1</w:t>
      </w:r>
      <w:r>
        <w:rPr>
          <w:rFonts w:ascii="Times New Roman" w:hAnsi="Times New Roman"/>
          <w:b/>
          <w:i w:val="false"/>
          <w:color w:val="000000"/>
          <w:sz w:val="22"/>
        </w:rPr>
        <w:t xml:space="preserve">(249A)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“Diagnosis” </w:t>
      </w:r>
      <w:r>
        <w:rPr>
          <w:rFonts w:ascii="Times New Roman" w:hAnsi="Times New Roman"/>
          <w:b w:val="false"/>
          <w:i w:val="false"/>
          <w:color w:val="000000"/>
          <w:sz w:val="22"/>
        </w:rPr>
        <w:t>is the determination of the nature of physical or mental disease or abnormality.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“Interperiodic screen” </w:t>
      </w:r>
      <w:r>
        <w:rPr>
          <w:rFonts w:ascii="Times New Roman" w:hAnsi="Times New Roman"/>
          <w:b w:val="false"/>
          <w:i w:val="false"/>
          <w:color w:val="000000"/>
          <w:sz w:val="22"/>
        </w:rPr>
        <w:t xml:space="preserve">means a screen that occurs between the times stated in the periodicity schedule in </w:t>
      </w:r>
      <w:hyperlink r:id="rId5">
        <w:r>
          <w:rPr>
            <w:rStyle w:val="Hyperlink"/>
            <w:rFonts w:ascii="Times New Roman" w:hAnsi="Times New Roman"/>
            <w:b w:val="false"/>
            <w:i w:val="false"/>
            <w:color w:val="000000"/>
            <w:sz w:val="22"/>
          </w:rPr>
          <w:t>441—subrule 78.18(3)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“Screening” </w:t>
      </w:r>
      <w:r>
        <w:rPr>
          <w:rFonts w:ascii="Times New Roman" w:hAnsi="Times New Roman"/>
          <w:b w:val="false"/>
          <w:i w:val="false"/>
          <w:color w:val="000000"/>
          <w:sz w:val="22"/>
        </w:rPr>
        <w:t>is the use of quick, simple procedures to sort out apparently well persons from those who may have a disease or abnormality and to identify those in need of more definitive study. These services will be provided in accordance with reasonable standards of medical and dental practice.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9067C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441—84.2</w:t>
      </w:r>
      <w:r>
        <w:rPr>
          <w:rFonts w:ascii="Times New Roman" w:hAnsi="Times New Roman"/>
          <w:b/>
          <w:i w:val="false"/>
          <w:color w:val="000000"/>
          <w:sz w:val="22"/>
        </w:rPr>
        <w:t xml:space="preserve">(249A) </w:t>
      </w:r>
      <w:r>
        <w:rPr>
          <w:rFonts w:ascii="Times New Roman" w:hAnsi="Times New Roman"/>
          <w:b/>
          <w:i w:val="false"/>
          <w:color w:val="000000"/>
          <w:sz w:val="22"/>
        </w:rPr>
        <w:t xml:space="preserve">Eligibility. </w:t>
      </w:r>
      <w:r>
        <w:rPr>
          <w:rFonts w:ascii="Times New Roman" w:hAnsi="Times New Roman"/>
          <w:b w:val="false"/>
          <w:i w:val="false"/>
          <w:color w:val="000000"/>
          <w:sz w:val="22"/>
        </w:rPr>
        <w:t>All persons eligible for medical assistance under age 21 are eligible for early and periodic screening, diagnosis, and treatment.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9067C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441—84.3</w:t>
      </w:r>
      <w:r>
        <w:rPr>
          <w:rFonts w:ascii="Times New Roman" w:hAnsi="Times New Roman"/>
          <w:b/>
          <w:i w:val="false"/>
          <w:color w:val="000000"/>
          <w:sz w:val="22"/>
        </w:rPr>
        <w:t xml:space="preserve">(249A) </w:t>
      </w:r>
      <w:r>
        <w:rPr>
          <w:rFonts w:ascii="Times New Roman" w:hAnsi="Times New Roman"/>
          <w:b/>
          <w:i w:val="false"/>
          <w:color w:val="000000"/>
          <w:sz w:val="22"/>
        </w:rPr>
        <w:t xml:space="preserve">Screening services. </w:t>
      </w:r>
      <w:r>
        <w:rPr>
          <w:rFonts w:ascii="Times New Roman" w:hAnsi="Times New Roman"/>
          <w:b w:val="false"/>
          <w:i w:val="false"/>
          <w:color w:val="000000"/>
          <w:sz w:val="22"/>
        </w:rPr>
        <w:t xml:space="preserve">Screening services shall be provided in accordance with 42 CFR §441.56 as amended to August 1, 2024, and may be done by a screening center or other qualified providers. Other qualified providers are physicians, advanced registered nurse practitioners, rural health centers, federally qualified health centers, laboratories, clinics, and dentists.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9067C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441—84.4</w:t>
      </w:r>
      <w:r>
        <w:rPr>
          <w:rFonts w:ascii="Times New Roman" w:hAnsi="Times New Roman"/>
          <w:b/>
          <w:i w:val="false"/>
          <w:color w:val="000000"/>
          <w:sz w:val="22"/>
        </w:rPr>
        <w:t xml:space="preserve">(249A) </w:t>
      </w:r>
      <w:r>
        <w:rPr>
          <w:rFonts w:ascii="Times New Roman" w:hAnsi="Times New Roman"/>
          <w:b/>
          <w:i w:val="false"/>
          <w:color w:val="000000"/>
          <w:sz w:val="22"/>
        </w:rPr>
        <w:t xml:space="preserve">Referral.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84.4(1)</w:t>
      </w:r>
      <w:r>
        <w:rPr>
          <w:rFonts w:ascii="Times New Roman" w:hAnsi="Times New Roman"/>
          <w:b w:val="false"/>
          <w:i w:val="false"/>
          <w:color w:val="000000"/>
          <w:sz w:val="22"/>
        </w:rPr>
        <w:t> </w:t>
      </w:r>
      <w:r>
        <w:rPr>
          <w:rFonts w:ascii="Times New Roman" w:hAnsi="Times New Roman"/>
          <w:b w:val="false"/>
          <w:i w:val="false"/>
          <w:color w:val="000000"/>
          <w:sz w:val="22"/>
        </w:rPr>
        <w:t>The availability of early and periodic screening will be discussed with the payee for any Medicaid-eligible child under the age of 21 at the time of application and periodically thereafter in compliance with federal regulations at Title 42, Part 441, Subpart B, as amended to March 29, 2022.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84.4(2)</w:t>
      </w:r>
      <w:r>
        <w:rPr>
          <w:rFonts w:ascii="Times New Roman" w:hAnsi="Times New Roman"/>
          <w:b w:val="false"/>
          <w:i w:val="false"/>
          <w:color w:val="000000"/>
          <w:sz w:val="22"/>
        </w:rPr>
        <w:t> </w:t>
      </w:r>
      <w:r>
        <w:rPr>
          <w:rFonts w:ascii="Times New Roman" w:hAnsi="Times New Roman"/>
          <w:b w:val="false"/>
          <w:i w:val="false"/>
          <w:color w:val="000000"/>
          <w:sz w:val="22"/>
        </w:rPr>
        <w:t xml:space="preserve">Screening will be offered to each eligible individual according to the periodicity schedule in </w:t>
      </w:r>
      <w:hyperlink r:id="rId6">
        <w:r>
          <w:rPr>
            <w:rStyle w:val="Hyperlink"/>
            <w:rFonts w:ascii="Times New Roman" w:hAnsi="Times New Roman"/>
            <w:b w:val="false"/>
            <w:i w:val="false"/>
            <w:color w:val="000000"/>
            <w:sz w:val="22"/>
          </w:rPr>
          <w:t>441—subrule 78.18(3)</w:t>
        </w:r>
      </w:hyperlink>
      <w:r>
        <w:rPr>
          <w:rFonts w:ascii="Times New Roman" w:hAnsi="Times New Roman"/>
          <w:b w:val="false"/>
          <w:i w:val="false"/>
          <w:color w:val="000000"/>
          <w:sz w:val="22"/>
        </w:rPr>
        <w:t xml:space="preserve"> when screening has been accepted, or on at least an annual basis when screening has been rejected. Interperiodic screens may be furnished when medically necessary to determine whether a child has a physical or mental illness or condition that may require further assessment, diagnosis, or treatment.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9067C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441—84.5</w:t>
      </w:r>
      <w:r>
        <w:rPr>
          <w:rFonts w:ascii="Times New Roman" w:hAnsi="Times New Roman"/>
          <w:b/>
          <w:i w:val="false"/>
          <w:color w:val="000000"/>
          <w:sz w:val="22"/>
        </w:rPr>
        <w:t xml:space="preserve">(249A) </w:t>
      </w:r>
      <w:r>
        <w:rPr>
          <w:rFonts w:ascii="Times New Roman" w:hAnsi="Times New Roman"/>
          <w:b/>
          <w:i w:val="false"/>
          <w:color w:val="000000"/>
          <w:sz w:val="22"/>
        </w:rPr>
        <w:t xml:space="preserve">Follow up. </w:t>
      </w:r>
      <w:r>
        <w:rPr>
          <w:rFonts w:ascii="Times New Roman" w:hAnsi="Times New Roman"/>
          <w:b w:val="false"/>
          <w:i w:val="false"/>
          <w:color w:val="000000"/>
          <w:sz w:val="22"/>
        </w:rPr>
        <w:t>Follow-up services will be provided when a referral for screening was accepted, but 60 days have elapsed and no screening examination has been performed, and when a screening examination discloses a possible abnormal condition and a referral was made for further diagnosis or treatment and such diagnosis or treatment has not been received within a period of 60 days from the date of the screening examination.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9067C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7">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6/25/76, Notice 5/17/76—published 7/12/76, effective 8/16/76]</w:t>
      </w:r>
    </w:p>
    <w:p>
      <w:pPr>
        <w:spacing w:before="0" w:after="0"/>
        <w:ind w:left="120"/>
        <w:jc w:val="center"/>
      </w:pPr>
      <w:r>
        <w:rPr>
          <w:rFonts w:ascii="Times New Roman" w:hAnsi="Times New Roman"/>
          <w:b w:val="false"/>
          <w:i w:val="false"/>
          <w:color w:val="000000"/>
          <w:sz w:val="21"/>
        </w:rPr>
        <w:t>[Filed emergency after Notice 9/6/79, Notice 7/11/79—published 10/3/79, effective 10/1/79]</w:t>
      </w:r>
    </w:p>
    <w:p>
      <w:pPr>
        <w:spacing w:before="0" w:after="0"/>
        <w:ind w:left="120"/>
        <w:jc w:val="center"/>
      </w:pPr>
      <w:r>
        <w:rPr>
          <w:rFonts w:ascii="Times New Roman" w:hAnsi="Times New Roman"/>
          <w:b w:val="false"/>
          <w:i w:val="false"/>
          <w:color w:val="000000"/>
          <w:sz w:val="21"/>
        </w:rPr>
        <w:t>[Filed 3/24/81, Notice 2/4/81—published 4/15/81, effective 6/1/81]</w:t>
      </w:r>
    </w:p>
    <w:p>
      <w:pPr>
        <w:spacing w:before="0" w:after="0"/>
        <w:ind w:left="120"/>
        <w:jc w:val="center"/>
      </w:pPr>
      <w:r>
        <w:rPr>
          <w:rFonts w:ascii="Times New Roman" w:hAnsi="Times New Roman"/>
          <w:b w:val="false"/>
          <w:i w:val="false"/>
          <w:color w:val="000000"/>
          <w:sz w:val="21"/>
        </w:rPr>
        <w:t>[Filed emergency 2/10/84—published 2/29/84, effective 2/10/84]</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11/15/91—published 12/11/91, effective 2/1/92]</w:t>
      </w:r>
    </w:p>
    <w:p>
      <w:pPr>
        <w:spacing w:before="0" w:after="0"/>
        <w:ind w:left="120"/>
        <w:jc w:val="center"/>
      </w:pPr>
      <w:r>
        <w:rPr>
          <w:rFonts w:ascii="Times New Roman" w:hAnsi="Times New Roman"/>
          <w:b w:val="false"/>
          <w:i w:val="false"/>
          <w:color w:val="000000"/>
          <w:sz w:val="21"/>
        </w:rPr>
        <w:t>[Filed 1/14/93, Notice 12/9/92—published 2/3/93, effective 4/1/93]</w:t>
      </w:r>
    </w:p>
    <w:p>
      <w:pPr>
        <w:spacing w:before="0" w:after="0"/>
        <w:ind w:left="120"/>
        <w:jc w:val="center"/>
      </w:pPr>
      <w:r>
        <w:rPr>
          <w:rFonts w:ascii="Times New Roman" w:hAnsi="Times New Roman"/>
          <w:b w:val="false"/>
          <w:i w:val="false"/>
          <w:color w:val="000000"/>
          <w:sz w:val="21"/>
        </w:rPr>
        <w:t>[Filed 5/11/95, Notice 3/29/95—published 6/7/95, effective 8/1/95]</w:t>
      </w:r>
    </w:p>
    <w:p>
      <w:pPr>
        <w:spacing w:before="0" w:after="0"/>
        <w:ind w:left="120"/>
        <w:jc w:val="center"/>
      </w:pPr>
      <w:r>
        <w:rPr>
          <w:rFonts w:ascii="Times New Roman" w:hAnsi="Times New Roman"/>
          <w:b w:val="false"/>
          <w:i w:val="false"/>
          <w:color w:val="000000"/>
          <w:sz w:val="21"/>
        </w:rPr>
        <w:t>[Filed 8/12/98, Notice 6/17/98—published 9/9/98, effective 11/1/98]</w:t>
      </w:r>
    </w:p>
    <w:p>
      <w:pPr>
        <w:spacing w:before="0" w:after="0"/>
        <w:ind w:left="120"/>
        <w:jc w:val="center"/>
      </w:pPr>
      <w:r>
        <w:rPr>
          <w:rFonts w:ascii="Times New Roman" w:hAnsi="Times New Roman"/>
          <w:b w:val="false"/>
          <w:i w:val="false"/>
          <w:color w:val="000000"/>
          <w:sz w:val="21"/>
        </w:rPr>
        <w:t>[Filed 12/12/01, Notice 10/17/01—published 1/9/02, effective 3/1/02]</w:t>
      </w:r>
    </w:p>
    <w:p>
      <w:pPr>
        <w:spacing w:before="0" w:after="0"/>
        <w:ind w:left="120"/>
        <w:jc w:val="center"/>
      </w:pPr>
      <w:r>
        <w:rPr>
          <w:rFonts w:ascii="Times New Roman" w:hAnsi="Times New Roman"/>
          <w:b w:val="false"/>
          <w:i w:val="false"/>
          <w:color w:val="000000"/>
          <w:sz w:val="21"/>
        </w:rPr>
        <w:t>[Filed 9/22/03, Notice 7/9/03—published 10/15/03, effective 12/1/03]</w:t>
      </w:r>
    </w:p>
    <w:p>
      <w:pPr>
        <w:spacing w:before="0" w:after="0"/>
        <w:ind w:left="120"/>
        <w:jc w:val="center"/>
      </w:pPr>
      <w:r>
        <w:rPr>
          <w:rFonts w:ascii="Times New Roman" w:hAnsi="Times New Roman"/>
          <w:b w:val="false"/>
          <w:i w:val="false"/>
          <w:color w:val="000000"/>
          <w:sz w:val="21"/>
        </w:rPr>
        <w:t>[Filed 10/21/05, Notice 8/31/05—published 11/9/05, effective 1/1/06]</w:t>
      </w:r>
    </w:p>
    <w:p>
      <w:pPr>
        <w:spacing w:before="0" w:after="0"/>
        <w:ind w:left="120"/>
        <w:jc w:val="center"/>
      </w:pPr>
      <w:r>
        <w:rPr>
          <w:rFonts w:ascii="Times New Roman" w:hAnsi="Times New Roman"/>
          <w:b w:val="false"/>
          <w:i w:val="false"/>
          <w:color w:val="000000"/>
          <w:sz w:val="21"/>
        </w:rPr>
        <w:t>[Filed ARC 6777C</w:t>
      </w:r>
      <w:r>
        <w:rPr>
          <w:rFonts w:ascii="Times New Roman" w:hAnsi="Times New Roman"/>
          <w:b w:val="false"/>
          <w:i w:val="false"/>
          <w:color w:val="000000"/>
          <w:sz w:val="21"/>
        </w:rPr>
        <w:t xml:space="preserve"> (Notice ARC 6588C, IAB 10/5/22)</w:t>
      </w:r>
      <w:r>
        <w:rPr>
          <w:rFonts w:ascii="Times New Roman" w:hAnsi="Times New Roman"/>
          <w:b w:val="false"/>
          <w:i w:val="false"/>
          <w:color w:val="000000"/>
          <w:sz w:val="21"/>
        </w:rPr>
        <w:t>, IAB 12/28/22, effective 2/1/23]</w:t>
      </w:r>
    </w:p>
    <w:p>
      <w:pPr>
        <w:spacing w:before="0" w:after="0"/>
        <w:ind w:left="120"/>
        <w:jc w:val="center"/>
      </w:pPr>
      <w:r>
        <w:rPr>
          <w:rFonts w:ascii="Times New Roman" w:hAnsi="Times New Roman"/>
          <w:b w:val="false"/>
          <w:i w:val="false"/>
          <w:color w:val="000000"/>
          <w:sz w:val="21"/>
        </w:rPr>
        <w:t>[Filed ARC 9067C</w:t>
      </w:r>
      <w:r>
        <w:rPr>
          <w:rFonts w:ascii="Times New Roman" w:hAnsi="Times New Roman"/>
          <w:b w:val="false"/>
          <w:i w:val="false"/>
          <w:color w:val="000000"/>
          <w:sz w:val="21"/>
        </w:rPr>
        <w:t xml:space="preserve"> (Notice ARC 8710C, IAB 1/8/25)</w:t>
      </w:r>
      <w:r>
        <w:rPr>
          <w:rFonts w:ascii="Times New Roman" w:hAnsi="Times New Roman"/>
          <w:b w:val="false"/>
          <w:i w:val="false"/>
          <w:color w:val="000000"/>
          <w:sz w:val="21"/>
        </w:rPr>
        <w:t>, IAB 4/2/25, effective 6/1/25]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41.78.18.pdf" Type="http://schemas.openxmlformats.org/officeDocument/2006/relationships/hyperlink" Id="rId5"/>
    <Relationship TargetMode="External" Target="https://www.legis.iowa.gov/docs/iac/rule/441.78.18.pdf" Type="http://schemas.openxmlformats.org/officeDocument/2006/relationships/hyperlink" Id="rId6"/>
    <Relationship TargetMode="External" Target="https://www.legis.iowa.gov/docs/ico/chapter/249A.4.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