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 xml:space="preserve">INTERMEDIATE CARE FACILITIES FOR PERSONS </w:t>
      </w:r>
      <w:r>
        <w:br/>
      </w:r>
      <w:r>
        <w:rPr>
          <w:rFonts w:ascii="Times New Roman" w:hAnsi="Times New Roman"/>
          <w:b w:val="false"/>
          <w:i w:val="false"/>
          <w:color w:val="000000"/>
          <w:sz w:val="21"/>
        </w:rPr>
        <w:t>WITH AN INTELLECTUAL DISABILITY</w:t>
      </w:r>
    </w:p>
    <w:p>
      <w:pPr>
        <w:spacing w:before="0" w:after="0"/>
        <w:ind w:left="120"/>
        <w:jc w:val="center"/>
      </w:pPr>
      <w:r>
        <w:rPr>
          <w:rFonts w:ascii="Times New Roman" w:hAnsi="Times New Roman"/>
          <w:b w:val="false"/>
          <w:i w:val="false"/>
          <w:color w:val="000000"/>
          <w:sz w:val="14"/>
        </w:rPr>
        <w:t>[Prior to 7/1/83, Social Services[770] Ch 82]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441—82.1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“ICF/ID”</w:t>
      </w:r>
      <w:r>
        <w:rPr>
          <w:rFonts w:ascii="Times New Roman" w:hAnsi="Times New Roman"/>
          <w:b w:val="false"/>
          <w:i w:val="false"/>
          <w:color w:val="000000"/>
          <w:sz w:val="22"/>
        </w:rPr>
        <w:t>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individual has a diagnosis of intellectual disability made in accordance with the criteria provided in the current version of the Diagnostic and Statistical Manual of Mental Disorders published by the American Psychiatric Association as amended to August 1, 2024; or has a related condition as defined in 42 CFR 435.1009 as amended to August 1, 2024;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medical complexity”</w:t>
      </w:r>
      <w:r>
        <w:rPr>
          <w:rFonts w:ascii="Times New Roman" w:hAnsi="Times New Roman"/>
          <w:b w:val="false"/>
          <w:i w:val="false"/>
          <w:color w:val="000000"/>
          <w:sz w:val="22"/>
        </w:rPr>
        <w:t> </w:t>
      </w:r>
      <w:r>
        <w:rPr>
          <w:rFonts w:ascii="Times New Roman" w:hAnsi="Times New Roman"/>
          <w:b w:val="false"/>
          <w:i w:val="false"/>
          <w:color w:val="000000"/>
          <w:sz w:val="22"/>
        </w:rPr>
        <w:t>means an intermediate care facility for persons with an intellectual disability that provides health and rehabilitation services to individuals who require a skilled nursing level of care, have either a multiple organ dysfunction or severe single organ dysfunction, and require daily use of medical resources or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441—82.2</w:t>
      </w:r>
      <w:r>
        <w:rPr>
          <w:rFonts w:ascii="Times New Roman" w:hAnsi="Times New Roman"/>
          <w:b/>
          <w:i w:val="false"/>
          <w:color w:val="000000"/>
          <w:sz w:val="22"/>
        </w:rPr>
        <w:t xml:space="preserve">(249A) </w:t>
      </w:r>
      <w:r>
        <w:rPr>
          <w:rFonts w:ascii="Times New Roman" w:hAnsi="Times New Roman"/>
          <w:b/>
          <w:i w:val="false"/>
          <w:color w:val="000000"/>
          <w:sz w:val="22"/>
        </w:rPr>
        <w:t xml:space="preserve">Licensing and certification. </w:t>
      </w:r>
      <w:r>
        <w:rPr>
          <w:rFonts w:ascii="Times New Roman" w:hAnsi="Times New Roman"/>
          <w:b w:val="false"/>
          <w:i w:val="false"/>
          <w:color w:val="000000"/>
          <w:sz w:val="22"/>
        </w:rPr>
        <w:t xml:space="preserve">In order to participate in the program, a facility shall be licensed as an intermediate care facility for persons with an intellectual disability by the department of inspections, appeals, and licensing pursuant to </w:t>
      </w:r>
      <w:hyperlink r:id="rId7">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The facility shall meet the following conditions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and management—disclosure of ownership. </w:t>
      </w:r>
      <w:r>
        <w:rPr>
          <w:rFonts w:ascii="Times New Roman" w:hAnsi="Times New Roman"/>
          <w:b w:val="false"/>
          <w:i w:val="false"/>
          <w:color w:val="000000"/>
          <w:sz w:val="22"/>
        </w:rPr>
        <w:t>The facility shall supply to the licensing agency full and complete information, and promptly report any changes that would affect the current accuracy of the information, as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having a direct or indirect ownership interest of 5 percent or more in the facility and the owner in whole or in part of any property or assets (stock, mortgage, deed of trust, note or other obligation) secured in whole or in part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officer and director of the corporation if the facility is organized as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partner if the facility is organized as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Client protections. </w:t>
      </w:r>
      <w:r>
        <w:rPr>
          <w:rFonts w:ascii="Times New Roman" w:hAnsi="Times New Roman"/>
          <w:b w:val="false"/>
          <w:i w:val="false"/>
          <w:color w:val="000000"/>
          <w:sz w:val="22"/>
        </w:rPr>
        <w:t>The facility shall ensure the rights of all clients in accordance with 42 CFR 483.420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Facility staffing. </w:t>
      </w:r>
      <w:r>
        <w:rPr>
          <w:rFonts w:ascii="Times New Roman" w:hAnsi="Times New Roman"/>
          <w:b w:val="false"/>
          <w:i w:val="false"/>
          <w:color w:val="000000"/>
          <w:sz w:val="22"/>
        </w:rPr>
        <w:t>The facility shall provide adequate, qualified professional staffing in accordance with 42 CFR 483.430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services. </w:t>
      </w:r>
      <w:r>
        <w:rPr>
          <w:rFonts w:ascii="Times New Roman" w:hAnsi="Times New Roman"/>
          <w:b w:val="false"/>
          <w:i w:val="false"/>
          <w:color w:val="000000"/>
          <w:sz w:val="22"/>
        </w:rPr>
        <w:t>Each client shall receive a continuous active treatment program in accordance with 42 CFR 483.440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Client behavior and facility practices. </w:t>
      </w:r>
      <w:r>
        <w:rPr>
          <w:rFonts w:ascii="Times New Roman" w:hAnsi="Times New Roman"/>
          <w:b w:val="false"/>
          <w:i w:val="false"/>
          <w:color w:val="000000"/>
          <w:sz w:val="22"/>
        </w:rPr>
        <w:t>Each facility shall establish and maintain standards for client behavior and facility practices in accordance with 42 CFR 483.450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Each facility shall establish and maintain standards for health care services in accordance with 42 CFR 483.460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Each facility shall establish and maintain standards for the physical environment in accordance with 42 CFR 483.470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services. </w:t>
      </w:r>
      <w:r>
        <w:rPr>
          <w:rFonts w:ascii="Times New Roman" w:hAnsi="Times New Roman"/>
          <w:b w:val="false"/>
          <w:i w:val="false"/>
          <w:color w:val="000000"/>
          <w:sz w:val="22"/>
        </w:rPr>
        <w:t>Each facility shall establish and maintain standards for dietary services in accordance with 42 CFR 483.480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441—82.3</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intermediate care facilities for persons with an intellectual disability. </w:t>
      </w:r>
      <w:r>
        <w:rPr>
          <w:rFonts w:ascii="Times New Roman" w:hAnsi="Times New Roman"/>
          <w:b w:val="false"/>
          <w:i w:val="false"/>
          <w:color w:val="000000"/>
          <w:sz w:val="22"/>
        </w:rPr>
        <w:t>All intermediate care facilities for persons with an intellectual disability must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w:t>
      </w:r>
      <w:r>
        <w:rPr>
          <w:rFonts w:ascii="Times New Roman" w:hAnsi="Times New Roman"/>
          <w:b w:val="false"/>
          <w:i w:val="false"/>
          <w:color w:val="000000"/>
          <w:sz w:val="22"/>
        </w:rPr>
        <w:t>All facilities wishing to participate in the program shall submit a financial and statistical report to the department.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Failure to maintain and submit adequate accounting or statistical records shall result in termination or suspension of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 Adjustments to convert to the accrual basis of accounting shall be made when the records are maintained on other accounting bases. Facilities that are a part of a larger health facility extending short-term, intensive, or other health care not generally considered nursing care may submit a cost apportionment schedule prepared in accordance with recognized methods and procedures. The schedule shall be required when necessary for a fair presentation of expense attributable to intermediate care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 xml:space="preserve">The facility’s cost report shall be received by the department no later than September 30 each year except as described in subrule </w:t>
      </w:r>
      <w:hyperlink r:id="rId10">
        <w:r>
          <w:rPr>
            <w:rStyle w:val="Hyperlink"/>
            <w:rFonts w:ascii="Times New Roman" w:hAnsi="Times New Roman"/>
            <w:b w:val="false"/>
            <w:i w:val="false"/>
            <w:color w:val="000000"/>
            <w:sz w:val="22"/>
          </w:rPr>
          <w:t>82.4(14)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department to reconcile accounts reported on the general ledger to those on the financial and statistical report. For reporting costs that are not directly assigned to the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11">
        <w:r>
          <w:rPr>
            <w:rStyle w:val="Hyperlink"/>
            <w:rFonts w:ascii="Times New Roman" w:hAnsi="Times New Roman"/>
            <w:b w:val="false"/>
            <w:i w:val="false"/>
            <w:color w:val="000000"/>
            <w:sz w:val="22"/>
          </w:rPr>
          <w:t>82.4(3)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financial statements have been compiled, reviewed or audited by an outside firm, a copy of the compilation, review or audit, including notes, for the reporting period shall be included with the submission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timely submit the complete report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effective October 1 and shall remain in effect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paid for no longer than three months, after which time no further payments will be made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Amended reports. 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payment rate following a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intermediate care facility for persons with an intellectual disability continues to include in the total costs an item or items that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facility may include the cost, but must include sufficient detail so the department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r>
        <w:rPr>
          <w:rFonts w:ascii="Times New Roman" w:hAnsi="Times New Roman"/>
          <w:b w:val="false"/>
          <w:i w:val="false"/>
          <w:color w:val="000000"/>
          <w:sz w:val="22"/>
        </w:rPr>
        <w:t>When a new rate is established, payment at the new rate will be effective with services rendered as of the first day of the month in which the report is postmarked, or if the report was personally delivered, the first day of the month in which the report was received by the department. Adjustments will be included in the payment the third month after the receipt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Expenses pertaining to an entire year shall be properly amortized by month in order to be properly recorded for the annual fiscal year report.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 status at midnight each day. A patient whose status changes from one class to another shall be shown as discharged from the previous status and admitted to the new status on the same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member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are those services that include room, board, nursing services, and such services as supervision, feeding, incontinence, and similar services, for which the associated costs are in nursing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private-pay residents of items or services that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 These taxes are considered in computing the fee for services for proprietary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to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allowed as reimbursable costs. Certain expenses such as rental or depreciation of a vehicle and expenses of travel that include both business and personal shall be prorated. Amounts that appear excessive may be limited after considering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includes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department. Employer portions of payroll taxes associated with amounts of compensation that exceed the maximum allowed compensation are unallowable for reimbursement. All compensation paid to related parties, including payroll taxes, are required to be reported to the department with the submission of the financial and statistical report. If it is determined that there have been undisclosed related-party salaries, the cost report shall be determined to have been submitted incomplete and the facility shall be subject to the penalties set forth in paragraph </w:t>
      </w:r>
      <w:hyperlink r:id="rId12">
        <w:r>
          <w:rPr>
            <w:rStyle w:val="Hyperlink"/>
            <w:rFonts w:ascii="Times New Roman" w:hAnsi="Times New Roman"/>
            <w:b w:val="false"/>
            <w:i w:val="false"/>
            <w:color w:val="000000"/>
            <w:sz w:val="22"/>
          </w:rPr>
          <w:t>82.4(3)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$1,926 per month plus $20.53 per month per licensed bed capacity for each bed over 60, not to exceed $2,852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On an annual basis, the maximum allowed compensation amounts for these administrators will be increased or decreased by the inflation factor applied to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as are maintained for any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13">
        <w:r>
          <w:rPr>
            <w:rStyle w:val="Hyperlink"/>
            <w:rFonts w:ascii="Times New Roman" w:hAnsi="Times New Roman"/>
            <w:b w:val="false"/>
            <w:i w:val="false"/>
            <w:color w:val="000000"/>
            <w:sz w:val="22"/>
          </w:rPr>
          <w:t>82.4(11)</w:t>
        </w:r>
      </w:hyperlink>
      <w:r>
        <w:rPr>
          <w:rFonts w:ascii="Times New Roman" w:hAnsi="Times New Roman"/>
          <w:b w:val="false"/>
          <w:i/>
          <w:color w:val="000000"/>
          <w:sz w:val="22"/>
        </w:rPr>
        <w:t>“e”</w:t>
      </w:r>
      <w:r>
        <w:rPr>
          <w:rFonts w:ascii="Times New Roman" w:hAnsi="Times New Roman"/>
          <w:b w:val="false"/>
          <w:i w:val="false"/>
          <w:color w:val="000000"/>
          <w:sz w:val="22"/>
        </w:rPr>
        <w:t xml:space="preserve">(4) through </w:t>
      </w:r>
      <w:hyperlink r:id="rId14">
        <w:r>
          <w:rPr>
            <w:rStyle w:val="Hyperlink"/>
            <w:rFonts w:ascii="Times New Roman" w:hAnsi="Times New Roman"/>
            <w:b w:val="false"/>
            <w:i w:val="false"/>
            <w:color w:val="000000"/>
            <w:sz w:val="22"/>
          </w:rPr>
          <w:t>82.4(11)</w:t>
        </w:r>
      </w:hyperlink>
      <w:r>
        <w:rPr>
          <w:rFonts w:ascii="Times New Roman" w:hAnsi="Times New Roman"/>
          <w:b w:val="false"/>
          <w:i/>
          <w:color w:val="000000"/>
          <w:sz w:val="22"/>
        </w:rPr>
        <w:t>“e”</w:t>
      </w:r>
      <w:r>
        <w:rPr>
          <w:rFonts w:ascii="Times New Roman" w:hAnsi="Times New Roman"/>
          <w:b w:val="false"/>
          <w:i w:val="false"/>
          <w:color w:val="000000"/>
          <w:sz w:val="22"/>
        </w:rPr>
        <w:t>(6) shall be adjusted by the percentage of the average work week that the employee devoted to business activity at the intermediate care facility for persons with an intellectual disability for the fiscal year of the financial and statistical report. The time devoted to the business shall be disclosed on the financial and statistical report and shall correspond to any amounts reported to the Medicare fiscal intermediary. If an owner’s or immediate relative’s time is allocated to the facility from another entity (e.g., home office), the compensation limit will be adjusted by the percentage of total costs of the entity allocated to the facility. In no case shall the amount of salary for one employee allocated to multiple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fees and home office costs are allowed only to the extent they are related to patient care and replace or enhance but do not duplicate functions otherwise carried out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Depreciation based upon tax cost using only the straight-line method of computation, recognizing the estimated useful life of the asset as defined in the American Hospital Association’s Estimated Useful Lives of Depreciable Hospital Assets (2023 edition), may be included as a patient cost. When accelerated methods of computation have been elected for income tax purposes, an adjustment will be made. For change of ownership, refer to subrule </w:t>
      </w:r>
      <w:r>
        <w:rPr>
          <w:rFonts w:ascii="Times New Roman" w:hAnsi="Times New Roman"/>
          <w:b w:val="false"/>
          <w:i w:val="false"/>
          <w:color w:val="000000"/>
          <w:sz w:val="22"/>
        </w:rPr>
        <w:t>82.4(12)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that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that commonly are obtained by similar institutions from other organizations and are not a basic element of patient care ordinarily furnished directly to patients by the institutions; and that the charge to the facility is in line with the charge for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facility entering into a new or renewed rent or lease agreement on or after June 1, 1994, shall be subject to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operator of a participating facility rents from a nonrelated party, the amount of rent expense allowable on the cost report is the lesser of the actual rent payments made under the terms of the lease or an annual reasonable rate of return applied to the cost of the facility. The cost of the facility shall be determined as the historical cost of the facility in the hands of the owner when the facility first entered the Iowa Medicaid program. Where the facility has previously participated in the program, the cost of the facility shall be determined as the historical cost of the facility, as above, less accumulated depreciation claimed for cost reimbursement under the program. The annual reasonable rate of return is defined as one and one-half times the annualized interest rate of 30-year Treasury bonds as reported by the Federal Reserve Board on a weekly-average basis, at the date the lease was entered into.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operator of a participating facility rents the building from a related party, the amount of rent expense allowable on the cost report is limited to the lesser of the actual rent payments made under the terms of the lease or the amount of property costs that would otherwise have been allowable under the Iowa Medicaid program to an owner-provider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lessee shall submit a copy of the lease agreement, documentation of the cost basis used and a schedule demonstrating that the limitations have been met with the first cost report filed for which lease costs are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that supplies transportation services as defined in Iowa Code section </w:t>
      </w:r>
      <w:hyperlink r:id="rId15">
        <w:r>
          <w:rPr>
            <w:rStyle w:val="Hyperlink"/>
            <w:rFonts w:ascii="Times New Roman" w:hAnsi="Times New Roman"/>
            <w:b w:val="false"/>
            <w:i w:val="false"/>
            <w:color w:val="000000"/>
            <w:sz w:val="22"/>
          </w:rPr>
          <w:t>324A.1(1)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chapter </w:t>
      </w:r>
      <w:hyperlink r:id="rId16">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and department of transportation rules </w:t>
      </w:r>
      <w:hyperlink r:id="rId17">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at the time of annual contract renewal. Failure to cooperate in obtaining or in providing the required documentation of compliance or exemption after receipt from the Iowa department of transportation, public transit division, will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fees, expenses related to expert witnesses, accounting fees and other consulting fees incurred in an administrative or judicial proceeding. However, facilities may report the reasonable costs incurred in an administrative or judicial proceeding if all of the following conditions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or state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that is a party to an agreement to participate in the medical assistance program, the removal, addition, or substitution of an individual for a partner in the association, in the absence of an express statement to the contrary, dissolves the old partnership and creates a new partnership that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home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the property is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(as amended to August 1, 2024)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that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82.4(13)</w:t>
      </w:r>
      <w:r>
        <w:rPr>
          <w:rFonts w:ascii="Times New Roman" w:hAnsi="Times New Roman"/>
          <w:b w:val="false"/>
          <w:i w:val="false"/>
          <w:color w:val="000000"/>
          <w:sz w:val="22"/>
        </w:rPr>
        <w:t> </w:t>
      </w:r>
      <w:r>
        <w:rPr>
          <w:rFonts w:ascii="Times New Roman" w:hAnsi="Times New Roman"/>
          <w:b w:val="false"/>
          <w:i/>
          <w:color w:val="000000"/>
          <w:sz w:val="22"/>
        </w:rPr>
        <w:t xml:space="preserve">Assessed fee. </w:t>
      </w:r>
      <w:r>
        <w:rPr>
          <w:rFonts w:ascii="Times New Roman" w:hAnsi="Times New Roman"/>
          <w:b w:val="false"/>
          <w:i w:val="false"/>
          <w:color w:val="000000"/>
          <w:sz w:val="22"/>
        </w:rPr>
        <w:t xml:space="preserve">The fee assessed pursuant to </w:t>
      </w:r>
      <w:hyperlink r:id="rId18">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is not an allowable cost for cost reporting and audit purposes. In lieu of treating the fee as an allowable cost, a per diem assessment amount is added to the reimbursement rate calculated under subrule </w:t>
      </w:r>
      <w:r>
        <w:rPr>
          <w:rFonts w:ascii="Times New Roman" w:hAnsi="Times New Roman"/>
          <w:b w:val="false"/>
          <w:i w:val="false"/>
          <w:color w:val="000000"/>
          <w:sz w:val="22"/>
        </w:rPr>
        <w:t>82.4(14)</w:t>
      </w:r>
      <w:r>
        <w:rPr>
          <w:rFonts w:ascii="Times New Roman" w:hAnsi="Times New Roman"/>
          <w:b w:val="false"/>
          <w:i w:val="false"/>
          <w:color w:val="000000"/>
          <w:sz w:val="22"/>
        </w:rPr>
        <w:t>, not subject to the maximum allowable base cost or maximum rate set at the eightieth percentile. The per diem assessment amount will be calculated by dividing the annual assessment paid by the reported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A facility receiving Medicaid ICF/ID certification on or after July 1, 1992, is subject to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receiving initial Medicaid certification for ICF/ID level of care shall submit a budget for six months of operation beginning with the month in which Medicaid certification is given. The budget shall be submitted at least 30 days in advance of the anticipated certification date. The Medicaid per diem rate for a new facility will be based on the submitted budget subject to review by the accounting firm under contract with the department. The rate will be subject to a maximum set at the eightieth percentile of all participating community-based Iowa ICFs/ID with established base rates. The eightieth percentile maximum rate will be adjusted July 1 of each year. The state hospital schools are not to be included in the compilation of facility costs. The beginning rates for a new facility will be effective with the date of Medicaid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cost report. Following six months of operation as a Medicaid-certified ICF/ID, the facility shall submit a report of actual costs. The rate computed from this cost report shall be adjusted to 100 percent occupancy plus the annual percentage increase of the Consumer Price Index for all urban consumers, U.S. city average (hereafter referred to as the Consumer Price Index). Business start-up and organization costs shall be accounted for in the manner prescribed by the Medicare and Medicaid standards. Any costs that are properly identifiable as start-up costs, organization costs or capitalizable as construction costs must be appropriately classified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Start-up costs. In the period of developing a provider’s ability to furnish patient care services, certain costs are incurred. The costs incurred during this time of preparation are referred to as start-up costs. Since these costs are related to patient care services rendered after the time of preparation, the costs must be capitalized as deferred charges and amortized over a five-year period.</w:t>
      </w:r>
    </w:p>
    <w:p>
      <w:pPr>
        <w:spacing w:before="0" w:after="0"/>
        <w:ind w:left="120"/>
        <w:jc w:val="both"/>
      </w:pPr>
      <w:r>
        <w:rPr>
          <w:rFonts w:ascii="Times New Roman" w:hAnsi="Times New Roman"/>
          <w:b w:val="false"/>
          <w:i w:val="false"/>
          <w:color w:val="000000"/>
          <w:sz w:val="22"/>
        </w:rPr>
        <w:t>Start-up costs include, for example, administrative and program staff salaries, heat, gas and electricity, taxes, insurance, mortgage and other interest, employee training costs, repairs and maintenance, and 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 costs. Organization costs are those costs directly related to the creation of a corporation or other form of business. These costs are an intangible asset in that they represent expenditures for rights and privileges that have a value to the enterprise. The services inherent in organization costs extend over more than one accounting period and affect the costs of future periods of operation. Organization costs must be amortized over a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Allowable organization costs. Allowable organization costs include but are not limited to legal fees incurred in establishing the corporation or other organization (such as drafting the corporate charter and bylaws, legal agreements, minutes of organization meetings, terms of original stock certificates), necessary accounting fees, expenses of temporary directors and organizational meetings of directors and stockholders, and fees paid to states for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Unallowable organization costs. The following types of costs are not allowable organization costs: costs relating to the issuance and sale of shares of capital stock or other securities, such as underwriters’ fees and commissions, accountant’s or lawyer’s fees; costs of qualifying the issues with the appropriate state or federal authorities; and stamp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Standardization of cost reporting period for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July 1 and December 31 (inclusive) shall submit three successive six-month cost reports covering their first 18 months of operation. The fourth six-month cost report shall cover the January 1 through June 30 period. Thereafter, the facility shall submit a cost report on an annual basis of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January 1 and June 30 (inclusive) shall submit two successive six-month cost reports covering the first 12 months of operation. The third six-month cost report shall cover the January 1 through June 30 period. Thereafter, the facility shall submit a cost report on an annual basis of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facilities shall comply with the requirements of subrule </w:t>
      </w:r>
      <w:r>
        <w:rPr>
          <w:rFonts w:ascii="Times New Roman" w:hAnsi="Times New Roman"/>
          <w:b w:val="false"/>
          <w:i w:val="false"/>
          <w:color w:val="000000"/>
          <w:sz w:val="22"/>
        </w:rPr>
        <w:t>82.4(3)</w:t>
      </w:r>
      <w:r>
        <w:rPr>
          <w:rFonts w:ascii="Times New Roman" w:hAnsi="Times New Roman"/>
          <w:b w:val="false"/>
          <w:i w:val="false"/>
          <w:color w:val="000000"/>
          <w:sz w:val="22"/>
        </w:rPr>
        <w:t xml:space="preserve"> when submitting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12 months of operation. Following the first 12 months of operation as a Medicaid-certified ICF/ID as described in subrule </w:t>
      </w:r>
      <w:r>
        <w:rPr>
          <w:rFonts w:ascii="Times New Roman" w:hAnsi="Times New Roman"/>
          <w:b w:val="false"/>
          <w:i w:val="false"/>
          <w:color w:val="000000"/>
          <w:sz w:val="22"/>
        </w:rPr>
        <w:t>82.4(14)</w:t>
      </w:r>
      <w:r>
        <w:rPr>
          <w:rFonts w:ascii="Times New Roman" w:hAnsi="Times New Roman"/>
          <w:b w:val="false"/>
          <w:i w:val="false"/>
          <w:color w:val="000000"/>
          <w:sz w:val="22"/>
        </w:rPr>
        <w:t>, the facility shall submit a cost report for the second six months of operation. An on-site audit of facility costs shall be performed by the accounting firm under contract with the department. Based on the audited cost report, a rate will be established for the facility. This rate will be considered the base rate until rebasing of facility costs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maximum allowable base cost will be calculated each year by increasing the prior year’s maximum allowable base by the annual percentage increase of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year’s maximum allowable base cost represents the maximum amount that can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rate. Facilities will be subject to a maximum rate set at the eightieth percentile of the total per diem cost of all participating community-based ICFs/ID with established base rates. The eightieth percentile maximum rate will be adjusted July 1 of each year using cost reports on file December 31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Incentive factor. New facilities that complete the second annual period of operation that have an annual per unit cost percentage increase of less than the percentage increase of the Consumer Price Index, as described in </w:t>
      </w:r>
      <w:hyperlink r:id="rId19">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given their actual percentage increase plus one-half the difference of their actual percentage increase compared to the allowable maximum percentage increase. This percentage difference multiplied by the actual per diem cost for the annual period just completed is the incentive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next annual period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shall be given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Reimbursement for first annual period. The reimbursement for the first annual period will be determined by multiplying the per diem rate calculated for the base period by the Consumer Price Index plus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each period thereafter (until rebasing) will be calculated by multiplying the lower of the prior year’s actual or the projected reimbursement per diem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will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calculated per diem rates will be subject to the prevailing maximum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 xml:space="preserve">An existing facility with a new owner will continue with the previous owner’s per diem rate until a new financial and statistical report has been submitted and a new rate established according to subrule </w:t>
      </w:r>
      <w:hyperlink r:id="rId20">
        <w:r>
          <w:rPr>
            <w:rStyle w:val="Hyperlink"/>
            <w:rFonts w:ascii="Times New Roman" w:hAnsi="Times New Roman"/>
            <w:b w:val="false"/>
            <w:i w:val="false"/>
            <w:color w:val="000000"/>
            <w:sz w:val="22"/>
          </w:rPr>
          <w:t>82.4(16)</w:t>
        </w:r>
      </w:hyperlink>
      <w:r>
        <w:rPr>
          <w:rFonts w:ascii="Times New Roman" w:hAnsi="Times New Roman"/>
          <w:b w:val="false"/>
          <w:i w:val="false"/>
          <w:color w:val="000000"/>
          <w:sz w:val="22"/>
        </w:rPr>
        <w:t>. The facility may submit a report for the period of July 1 through June 30 or may submit two cost reports within the fiscal year provided the second report covers a period of at least six months ending on the last day of the fiscal year. The facility shall notify the department of the reporting option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82.4(16)</w:t>
      </w:r>
      <w:r>
        <w:rPr>
          <w:rFonts w:ascii="Times New Roman" w:hAnsi="Times New Roman"/>
          <w:b w:val="false"/>
          <w:i w:val="false"/>
          <w:color w:val="000000"/>
          <w:sz w:val="22"/>
        </w:rPr>
        <w:t> </w:t>
      </w:r>
      <w:r>
        <w:rPr>
          <w:rFonts w:ascii="Times New Roman" w:hAnsi="Times New Roman"/>
          <w:b w:val="false"/>
          <w:i/>
          <w:color w:val="000000"/>
          <w:sz w:val="22"/>
        </w:rPr>
        <w:t xml:space="preserve">Payment to existing facilities. </w:t>
      </w:r>
      <w:r>
        <w:rPr>
          <w:rFonts w:ascii="Times New Roman" w:hAnsi="Times New Roman"/>
          <w:b w:val="false"/>
          <w:i w:val="false"/>
          <w:color w:val="000000"/>
          <w:sz w:val="22"/>
        </w:rPr>
        <w:t>The following reimbursement limits apply to all non-state-owned ICFs/ID: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file a cost report covering the period from January 1, 1992, through June 30, 1992. This cost report will be used to establish a reimbursement rate to be paid to the facility and will be used to establish the base allowable cost per unit to be used in future reimbursement rate calculations. Subsequent cost reports shall be filed annually by each facility covering the 12 months from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established based on the report covering January 1, 1992, through June 30, 1992, will be calculated using the method in place prior to July 1, 1992, including inflation and incentive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audited per unit cost from the January 1, 1992, through June 30, 1992, cost report will become the initial allowable base cost. A new maximum allowable base cost will be calculated each year as described in </w:t>
      </w:r>
      <w:hyperlink r:id="rId21">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that have an annual per unit cost percentage increase of less than the percentage increase of the Consumer Price Index will be given their actual percentage increase plus one-half the difference of their actual percentage increase compared to the allowable maximum percentage increase. This percentage difference multiplied by the actual per diem costs for the annual period just completed is the incentive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following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will receive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Administrative costs shall not exceed 18 percent of total facility costs. Administrative costs are comprised of those costs incurred in the general management and administrative functions of the facility. Administrative costs include but are not necessarily limited to the administrative portion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office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Advertising and marketing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Employer’s taxes (administrative).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Group/life and retirement benefits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Workers’ compensation insurance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Employment advertising and recruitment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Criminal record checks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and training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Office supplies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Management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Accounting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Professional organization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Licensing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Legal fees—direct patient-care-related.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Legal fees—other.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Working capital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Travel, entertainment and auto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Advertising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Facility rates will be rebased using the cost report for the year covering state fiscal year 1996 and will subsequently be rebased each four years. The department will consider allowing special rate adjustments between rebasing cycles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increase in the minimum wage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federal regulations occurs that necessitates additional staff or expenditures for capital improvements, or a change in state or federal law occurs, or a court order with force of law mandates program changes that necessitate the addition of staff or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is made by a facility to serve a significantly different client population or to otherwise make a dramatic change in program structure (documentation and verification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facility increases or decreases licensed bed capacity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patient days for purposes of the computation are inpatient days as determined in subrule </w:t>
      </w:r>
      <w:hyperlink r:id="rId22">
        <w:r>
          <w:rPr>
            <w:rStyle w:val="Hyperlink"/>
            <w:rFonts w:ascii="Times New Roman" w:hAnsi="Times New Roman"/>
            <w:b w:val="false"/>
            <w:i w:val="false"/>
            <w:color w:val="000000"/>
            <w:sz w:val="22"/>
          </w:rPr>
          <w:t>82.4(7)</w:t>
        </w:r>
      </w:hyperlink>
      <w:r>
        <w:rPr>
          <w:rFonts w:ascii="Times New Roman" w:hAnsi="Times New Roman"/>
          <w:b w:val="false"/>
          <w:i w:val="false"/>
          <w:color w:val="000000"/>
          <w:sz w:val="22"/>
        </w:rPr>
        <w:t xml:space="preserve"> or 80 percent of the licensed capacity of the facility, whichever is greater. The reimbursement rate will be determined by dividing total reported patient expenses by total patient days during the reporting period. This cost per day will be limited by an inflation increase that will not exceed the percentage change in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State-owned ICFs/ID shall submit annual cost reports and will receive annual rate adjustments based on actual costs of operation inflated by the percentage change in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the first annual period will be determined by multiplying the per diem rate calculated for the base period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each period thereafter (until rebasing) will be calculated by multiplying the lower of the prior year’s actual or the projected reimbursement per diem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will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82.4(17)</w:t>
      </w:r>
      <w:r>
        <w:rPr>
          <w:rFonts w:ascii="Times New Roman" w:hAnsi="Times New Roman"/>
          <w:b w:val="false"/>
          <w:i w:val="false"/>
          <w:color w:val="000000"/>
          <w:sz w:val="22"/>
        </w:rPr>
        <w:t> </w:t>
      </w:r>
      <w:r>
        <w:rPr>
          <w:rFonts w:ascii="Times New Roman" w:hAnsi="Times New Roman"/>
          <w:b w:val="false"/>
          <w:i/>
          <w:color w:val="000000"/>
          <w:sz w:val="22"/>
        </w:rPr>
        <w:t xml:space="preserve">Wage add-on factor. </w:t>
      </w:r>
      <w:r>
        <w:rPr>
          <w:rFonts w:ascii="Times New Roman" w:hAnsi="Times New Roman"/>
          <w:b w:val="false"/>
          <w:i w:val="false"/>
          <w:color w:val="000000"/>
          <w:sz w:val="22"/>
        </w:rPr>
        <w:t xml:space="preserve">A wage add-on factor of $8.86 per day for community-based ICFs/ID will be included in rates effective July 1, 2022, and after, not subject to the maximum allowable cost ceiling in paragraph </w:t>
      </w:r>
      <w:hyperlink r:id="rId23">
        <w:r>
          <w:rPr>
            <w:rStyle w:val="Hyperlink"/>
            <w:rFonts w:ascii="Times New Roman" w:hAnsi="Times New Roman"/>
            <w:b w:val="false"/>
            <w:i w:val="false"/>
            <w:color w:val="000000"/>
            <w:sz w:val="22"/>
          </w:rPr>
          <w:t>82.4(14)</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rates are established using the cost reports for the period ending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2022 Iowa Acts, House File 2578</w:t>
      </w:r>
      <w:r>
        <w:rPr>
          <w:rFonts w:ascii="Times New Roman" w:hAnsi="Times New Roman"/>
          <w:b w:val="false"/>
          <w:i w:val="false"/>
          <w:color w:val="000000"/>
          <w:sz w:val="22"/>
        </w:rPr>
        <w:t>, section 31, the entire wage add-on factor will be used for wages and associated costs specific to wages, benefits, and required withholding of direct support professionals and frontline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will be added to the maximum allowable base rate in subparagraph </w:t>
      </w:r>
      <w:hyperlink r:id="rId24">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r>
        <w:rPr>
          <w:rFonts w:ascii="Times New Roman" w:hAnsi="Times New Roman"/>
          <w:b w:val="false"/>
          <w:i w:val="false"/>
          <w:color w:val="000000"/>
          <w:sz w:val="22"/>
        </w:rPr>
        <w:t>(1) until the next rebase using cost reports for the period ending June 30,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will be added to the maximum allowable cost ceiling, eightieth percentile of costs of all participating facilities in paragraph </w:t>
      </w:r>
      <w:hyperlink r:id="rId25">
        <w:r>
          <w:rPr>
            <w:rStyle w:val="Hyperlink"/>
            <w:rFonts w:ascii="Times New Roman" w:hAnsi="Times New Roman"/>
            <w:b w:val="false"/>
            <w:i w:val="false"/>
            <w:color w:val="000000"/>
            <w:sz w:val="22"/>
          </w:rPr>
          <w:t>82.4(14)</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the eightieth percentile maximum is established using the December 31, 2023, compilation for rates effective beginning July 1,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441—82.5</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initial evaluation for admission shall be conducted by an interdisciplinary team. The team shall consist of a physician, a social worker, and other professionals. At least one member of the team shall be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evaluation shall include a comprehensive medical, social, and psychological evaluation. The comprehensive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summaries of present medical, social and where appropriate, developmental findings, medical and social family history, mental and physical functional capacity, prognoses, range of service needs, and amounts of care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evaluation of the resources available in the home,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explicit recommendation with respect to admission or in the case of persons who make application while in the facility, continued care in the facility. Where it is determined that intermediate care facility for persons with an intellectual disability services are required by an individual whose needs might be met through the use of alternative services that are currently unavailable, this fact shall be entered in the record, and plans shall be initiated for the active exploration of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plan for care shall include diagnosis, symptoms, complaints or complications indicating the need for admission, a description of the functional level of the resident; written objective; orders as appropriate for medications, treatments, restorative and rehabilitative services, therapies, diet, activities, social services, and special procedures designed to meet the objectives; and plans for continuing care, including provisions for review and necessary modifications of the plan,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reports of the evaluation and the written individual plan of care shall be delivered to the facility and entered in the individual’s record at the time of admission or, in the case of individuals already in the facility, immediately upon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statement. </w:t>
      </w:r>
      <w:r>
        <w:rPr>
          <w:rFonts w:ascii="Times New Roman" w:hAnsi="Times New Roman"/>
          <w:b w:val="false"/>
          <w:i w:val="false"/>
          <w:color w:val="000000"/>
          <w:sz w:val="22"/>
        </w:rPr>
        <w:t>Eligible individuals may be admitted to an intermediate care facility for persons with an intellectual disability upon the certification of a physician that there is a necessity for care at the facility. For clients enrolled with a managed care organization, authorization for admission must be obtained from the managed care organization prior to admission. Eligibility will continue as long as a valid need for the care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441—82.6</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ICF/ID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color w:val="000000"/>
          <w:sz w:val="22"/>
        </w:rPr>
        <w:t xml:space="preserve">Referral through targeted case management. </w:t>
      </w:r>
      <w:r>
        <w:rPr>
          <w:rFonts w:ascii="Times New Roman" w:hAnsi="Times New Roman"/>
          <w:b w:val="false"/>
          <w:i w:val="false"/>
          <w:color w:val="000000"/>
          <w:sz w:val="22"/>
        </w:rPr>
        <w:t>Persons seeking ICF/ID placement shall be referred through targeted case management. The case management program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appropriate service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person of the alternatives;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 a person without appropriate alternatives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color w:val="000000"/>
          <w:sz w:val="22"/>
        </w:rPr>
        <w:t xml:space="preserve">Approval of placement by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referral,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 ICF/ID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a home- or community-based alternative;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 the person back to the targeted case management program for further consideration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ICF/ID placement is approved, including approval of ICF/ID level of care as described in subrule </w:t>
      </w:r>
      <w:hyperlink r:id="rId29">
        <w:r>
          <w:rPr>
            <w:rStyle w:val="Hyperlink"/>
            <w:rFonts w:ascii="Times New Roman" w:hAnsi="Times New Roman"/>
            <w:b w:val="false"/>
            <w:i w:val="false"/>
            <w:color w:val="000000"/>
            <w:sz w:val="22"/>
          </w:rPr>
          <w:t>82.6(3)</w:t>
        </w:r>
      </w:hyperlink>
      <w:r>
        <w:rPr>
          <w:rFonts w:ascii="Times New Roman" w:hAnsi="Times New Roman"/>
          <w:b w:val="false"/>
          <w:i w:val="false"/>
          <w:color w:val="000000"/>
          <w:sz w:val="22"/>
        </w:rPr>
        <w:t xml:space="preserve">, the eligible person, or the person’s representative, is free to seek placement in the facility of the person’s or the person’s representative’s choice, subject to the provision of ICF/ID services through managed care pursuant to </w:t>
      </w:r>
      <w:hyperlink r:id="rId30">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82.6(3)</w:t>
      </w:r>
      <w:r>
        <w:rPr>
          <w:rFonts w:ascii="Times New Roman" w:hAnsi="Times New Roman"/>
          <w:b w:val="false"/>
          <w:i w:val="false"/>
          <w:color w:val="000000"/>
          <w:sz w:val="22"/>
        </w:rPr>
        <w:t> </w:t>
      </w:r>
      <w:r>
        <w:rPr>
          <w:rFonts w:ascii="Times New Roman" w:hAnsi="Times New Roman"/>
          <w:b w:val="false"/>
          <w:i/>
          <w:color w:val="000000"/>
          <w:sz w:val="22"/>
        </w:rPr>
        <w:t xml:space="preserve">Approval of level of care. </w:t>
      </w:r>
      <w:r>
        <w:rPr>
          <w:rFonts w:ascii="Times New Roman" w:hAnsi="Times New Roman"/>
          <w:b w:val="false"/>
          <w:i w:val="false"/>
          <w:color w:val="000000"/>
          <w:sz w:val="22"/>
        </w:rPr>
        <w:t>Medicaid payment will be made for ICF/ID care upon certification of need for this level of care by a licensed physician of medicine or osteopathy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82.6(4)</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Notice of adverse action and right to appeal will be given in accordance with rule </w:t>
      </w:r>
      <w:hyperlink r:id="rId31">
        <w:r>
          <w:rPr>
            <w:rStyle w:val="Hyperlink"/>
            <w:rFonts w:ascii="Times New Roman" w:hAnsi="Times New Roman"/>
            <w:b w:val="false"/>
            <w:i w:val="false"/>
            <w:color w:val="000000"/>
            <w:sz w:val="22"/>
          </w:rPr>
          <w:t>441—16.3(17A)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441—82.7</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need for continued stay. </w:t>
      </w:r>
      <w:r>
        <w:rPr>
          <w:rFonts w:ascii="Times New Roman" w:hAnsi="Times New Roman"/>
          <w:b w:val="false"/>
          <w:i w:val="false"/>
          <w:color w:val="000000"/>
          <w:sz w:val="22"/>
        </w:rPr>
        <w:t>For clients not enrolled with a managed care organization, certification of need for continued stay will be made according to procedures established by the department. For all clients enrolled with a managed care organization, the managed care organization shall review the Medicaid client’s need for continued care in an ICF/ID at least annually. The managed care organization must submit documentation to the department for all reviews that indicate a change in the client’s level of care. The department will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441—82.8</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w:t>
      </w:r>
      <w:r>
        <w:rPr>
          <w:rFonts w:ascii="Times New Roman" w:hAnsi="Times New Roman"/>
          <w:b w:val="false"/>
          <w:i w:val="false"/>
          <w:color w:val="000000"/>
          <w:sz w:val="22"/>
        </w:rPr>
        <w:t> </w:t>
      </w:r>
      <w:r>
        <w:rPr>
          <w:rFonts w:ascii="Times New Roman" w:hAnsi="Times New Roman"/>
          <w:b w:val="false"/>
          <w:i/>
          <w:color w:val="000000"/>
          <w:sz w:val="22"/>
        </w:rPr>
        <w:t xml:space="preserve">Resident care agreement. </w:t>
      </w:r>
      <w:r>
        <w:rPr>
          <w:rFonts w:ascii="Times New Roman" w:hAnsi="Times New Roman"/>
          <w:b w:val="false"/>
          <w:i w:val="false"/>
          <w:color w:val="000000"/>
          <w:sz w:val="22"/>
        </w:rPr>
        <w:t>The ICF/ID Resident Care Agreement shall be used as a three-party contract among the facility, the resident, and the department to spell out the duties, rights, and obligation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82.8(2)</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Medicaid payment is made. Medicaid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82.8(3)</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When a facility manages the personal needs funds of a resident, it shall establish and maintain a system of accounting for expenditures from the resident’s personal needs funds. The department will charge back to the facility any maintenance item included in the computation of the audit cost that is charged to the resident’s personal needs account when the charge constitutes double payment. Unverifiable expenditures charged to personal needs accounts may be charged back to the facility. The accounting system is subject to audit by representatives of the department of inspections, appeals, and licensing and will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itemized,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receipts for each resident shall be kept until canceled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of inspections, appeals, and licensing representative. Audit certification will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a member’s death, a receipt shall be obtained from the next of kin or the member’s guardian before releasing the balance of the personal needs funds. When the member has been receiving a grant from the department for all or part of the personal needs, any funds shall revert to the department. The department will turn the funds over to the member’s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82.8(4)</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 resident is accorded privacy and uncensored communication with others by mail and telephone and with persons of the resident’s choice except when therapeutic or security reasons dictate otherwise. Any limitations or restrictions imposed shall be approved by the administrator and the reasons noted shall be made a part of the resident’s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441—82.9</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to a community setting, or another person requests this for the member, the administrator shall promptly notify a targeted case management provider. Names of local providers are available from the department’s local office. This shall be done in sufficient time to permit a case manager to assist in the decision and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shall be submitted to the department whenever a Medicaid applicant or member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 qualified intellectual disability professional’s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82.9(5)</w:t>
      </w:r>
      <w:r>
        <w:rPr>
          <w:rFonts w:ascii="Times New Roman" w:hAnsi="Times New Roman"/>
          <w:b w:val="false"/>
          <w:i w:val="false"/>
          <w:color w:val="000000"/>
          <w:sz w:val="22"/>
        </w:rPr>
        <w:t> </w:t>
      </w:r>
      <w:r>
        <w:rPr>
          <w:rFonts w:ascii="Times New Roman" w:hAnsi="Times New Roman"/>
          <w:b w:val="false"/>
          <w:i/>
          <w:color w:val="000000"/>
          <w:sz w:val="22"/>
        </w:rPr>
        <w:t xml:space="preserve">Income refund. </w:t>
      </w:r>
      <w:r>
        <w:rPr>
          <w:rFonts w:ascii="Times New Roman" w:hAnsi="Times New Roman"/>
          <w:b w:val="false"/>
          <w:i w:val="false"/>
          <w:color w:val="000000"/>
          <w:sz w:val="22"/>
        </w:rPr>
        <w:t>When a resident leaves the facility during the month, any unused portion of the resident’s income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441—82.10</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at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records as required by Section 1902(a)(31) of Title XIX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which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residents in skilled, intermediate, and residential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that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Records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441—82.11</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Facilities will be reimbursed under a cost-related vendor payment program. A per diem rate will be established based on information submitted according to rule </w:t>
      </w:r>
      <w:hyperlink r:id="rId38">
        <w:r>
          <w:rPr>
            <w:rStyle w:val="Hyperlink"/>
            <w:rFonts w:ascii="Times New Roman" w:hAnsi="Times New Roman"/>
            <w:b w:val="false"/>
            <w:i w:val="false"/>
            <w:color w:val="000000"/>
            <w:sz w:val="22"/>
          </w:rPr>
          <w:t>441—82.4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to visit home for a maximum of 30 days annually. Additional days may be approved for special programs of evaluation, treatment or habilitation outside the facility. Documentation as to the appropriateness and therapeutic value of resident visits and outside programming, signed by a physician or qualified intellectual disability professional, shall be maintained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ten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from facilities with more than 15 beds will be made at 80 percent of the allowable audited costs for those beds. Facilities with 15 or fewer beds will be reimbursed at 95 percent of the allowable audited costs for those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82.11(3)</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No supplementation of the state payment shall be made by any person. However, the resident or the resident’s family or friends may pay to hold the resident’s bed in cases where a resident spends over 30 days on yearly visitation or spends over ten days on a hospital stay. When the resident is not discharged from the facility, the payments will not exceed 80 percent of the allowable audited costs for the facility, not to exceed the maximum reimbursement rate. When the resident is discharged, the facility may handle the holding of the reserved bed in the same manner as a private paying resident.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441—82.12</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Claims for service for clients not enrolled with a managed care organization must be sent to the department after the month of service and within 365 days of the date of service. Such claims must be submitted electronically through the department’s electronic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A remittance advice of the claims paid may be obtained through the Iowa Medicaid portal access (IMPA)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Adjustments to claims may be made electronically as provided for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441—82.13</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Medicaid shall be approved by the resident’s managed care organization or by the department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441—82.14</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color w:val="000000"/>
          <w:sz w:val="22"/>
        </w:rPr>
        <w:t xml:space="preserve">Audits of financial and statistical report. </w:t>
      </w:r>
      <w:r>
        <w:rPr>
          <w:rFonts w:ascii="Times New Roman" w:hAnsi="Times New Roman"/>
          <w:b w:val="false"/>
          <w:i w:val="false"/>
          <w:color w:val="000000"/>
          <w:sz w:val="22"/>
        </w:rPr>
        <w:t xml:space="preserve">Authorized representatives of the department or the U.S. Department of Health and Human Services shall have the right, upon proper identification, to audit, using generally accepted auditing procedures, the general financial records of a facility to determine if expenses reported on the financial and statistical report are reasonable and proper according to the rules set forth in </w:t>
      </w:r>
      <w:hyperlink r:id="rId42">
        <w:r>
          <w:rPr>
            <w:rStyle w:val="Hyperlink"/>
            <w:rFonts w:ascii="Times New Roman" w:hAnsi="Times New Roman"/>
            <w:b w:val="false"/>
            <w:i w:val="false"/>
            <w:color w:val="000000"/>
            <w:sz w:val="22"/>
          </w:rPr>
          <w:t>441—82.4</w:t>
        </w:r>
      </w:hyperlink>
      <w:r>
        <w:rPr>
          <w:rFonts w:ascii="Times New Roman" w:hAnsi="Times New Roman"/>
          <w:b w:val="false"/>
          <w:i w:val="false"/>
          <w:color w:val="000000"/>
          <w:sz w:val="22"/>
        </w:rPr>
        <w:t>(249A). These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auditing procedures, the auditor shall examine and adjust the report to arrive at what appears to be an acceptable rate and shall recommend to the department that the indicated per diem should be reduced to 75 percent of the established payment rate for the ensuing fiscal period and if the situation is not remedied on the subsequent financial and statistical report, the facility shall be suspended and eventually canceled from the intermediate care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facility continues to include as an item of cost an item or items that had in a prior audit been removed by an adjustment in the total audited costs, the auditor shall recommend to the department that the per diem be reduced to 75 percent of the current payment rate for the ensuing fiscal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82.14(2)</w:t>
      </w:r>
      <w:r>
        <w:rPr>
          <w:rFonts w:ascii="Times New Roman" w:hAnsi="Times New Roman"/>
          <w:b w:val="false"/>
          <w:i w:val="false"/>
          <w:color w:val="000000"/>
          <w:sz w:val="22"/>
        </w:rPr>
        <w:t> </w:t>
      </w:r>
      <w:r>
        <w:rPr>
          <w:rFonts w:ascii="Times New Roman" w:hAnsi="Times New Roman"/>
          <w:b w:val="false"/>
          <w:i/>
          <w:color w:val="000000"/>
          <w:sz w:val="22"/>
        </w:rPr>
        <w:t xml:space="preserve">Auditing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the department’s contracted managed care organizations, field auditors of the department of inspections, appeals and licensing and representatives of the U.S. Department of Health and Human Services, upon proper identification,  have the right to audit billings to the department and receipts of client participation, to ensure that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the department’s contracted managed care organizations, field auditors of the department of inspections, appeals, and licensing and representatives of the U.S. Department of Health and Human Services, upon proper identification, have the right to audit records of the facility to determine proper handling of patient funds in compliance with subrule </w:t>
      </w:r>
      <w:hyperlink r:id="rId43">
        <w:r>
          <w:rPr>
            <w:rStyle w:val="Hyperlink"/>
            <w:rFonts w:ascii="Times New Roman" w:hAnsi="Times New Roman"/>
            <w:b w:val="false"/>
            <w:i w:val="false"/>
            <w:color w:val="000000"/>
            <w:sz w:val="22"/>
          </w:rPr>
          <w:t>82.8(3)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such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that would indicate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hyperlink r:id="rId44">
        <w:r>
          <w:rPr>
            <w:rStyle w:val="Hyperlink"/>
            <w:rFonts w:ascii="Times New Roman" w:hAnsi="Times New Roman"/>
            <w:b w:val="false"/>
            <w:i w:val="false"/>
            <w:color w:val="000000"/>
            <w:sz w:val="22"/>
          </w:rPr>
          <w:t>82.14(2)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will not be more than 25 percent of the average of the last six monthly payments to the facility. The withholding will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that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intermediate care facilities for persons with an intellectual disability.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82.15(1)</w:t>
      </w:r>
      <w:r>
        <w:rPr>
          <w:rFonts w:ascii="Times New Roman" w:hAnsi="Times New Roman"/>
          <w:b w:val="false"/>
          <w:i w:val="false"/>
          <w:color w:val="000000"/>
          <w:sz w:val="22"/>
        </w:rPr>
        <w:t> </w:t>
      </w:r>
      <w:r>
        <w:rPr>
          <w:rFonts w:ascii="Times New Roman" w:hAnsi="Times New Roman"/>
          <w:b w:val="false"/>
          <w:i w:val="false"/>
          <w:color w:val="000000"/>
          <w:sz w:val="22"/>
        </w:rPr>
        <w:t>Out-of-state providers will be reimbursed at the same intermediate care facility rate they are receiving for their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46">
        <w:r>
          <w:rPr>
            <w:rStyle w:val="Hyperlink"/>
            <w:rFonts w:ascii="Times New Roman" w:hAnsi="Times New Roman"/>
            <w:b w:val="false"/>
            <w:i w:val="false"/>
            <w:color w:val="000000"/>
            <w:sz w:val="22"/>
          </w:rPr>
          <w:t>441—81.56(249A)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80 percent of the rate paid to the facility by the Iowa Medicaid program. Out-of-state facilities with 15 or fewer beds will be reimbursed at 95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441—82.16</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an intellectual disability who has countable income for purposes of rule </w:t>
      </w:r>
      <w:hyperlink r:id="rId48">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of less than $55 per month will receive a state-funded payment from the department for the difference between that countable income and $55 if the legislature has appropriated funding specifically for this purpose. This payment shall not be considered a benefit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1/16/76—published 2/9/76, effective 1/16/76]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10/12/78, Notice 6/28/78—published 11/1/78, effective 12/6/78]</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6/8/89, Notice 5/3/89—published 6/28/89, effective 9/1/89]</w:t>
      </w:r>
    </w:p>
    <w:p>
      <w:pPr>
        <w:spacing w:before="0" w:after="0"/>
        <w:ind w:left="120"/>
        <w:jc w:val="center"/>
      </w:pPr>
      <w:r>
        <w:rPr>
          <w:rFonts w:ascii="Times New Roman" w:hAnsi="Times New Roman"/>
          <w:b w:val="false"/>
          <w:i w:val="false"/>
          <w:color w:val="000000"/>
          <w:sz w:val="21"/>
        </w:rPr>
        <w:t>[Filed 7/14/89, Notices 5/13/89</w:t>
      </w:r>
      <w:r>
        <w:rPr>
          <w:rFonts w:ascii="Times New Roman" w:hAnsi="Times New Roman"/>
          <w:b w:val="false"/>
          <w:i w:val="false"/>
          <w:color w:val="000000"/>
          <w:sz w:val="14"/>
        </w:rPr>
        <w:t>◊</w:t>
      </w:r>
      <w:r>
        <w:rPr>
          <w:rFonts w:ascii="Times New Roman" w:hAnsi="Times New Roman"/>
          <w:b w:val="false"/>
          <w:i w:val="false"/>
          <w:color w:val="000000"/>
          <w:sz w:val="21"/>
        </w:rPr>
        <w:t>—published 8/9/89, effective 10/1/89]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4/16/92, Notice 3/4/92—published 5/13/92, effective 7/1/92]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3/10/94, Notice 1/19/94—published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3/12/97, Notice 1/15/97—published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1/9/03—published 2/5/03, effective 2/1/03]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ARC 8207B, IAB 10/7/09, effective 12/1/09]</w:t>
      </w:r>
    </w:p>
    <w:p>
      <w:pPr>
        <w:spacing w:before="0" w:after="0"/>
        <w:ind w:left="120"/>
        <w:jc w:val="center"/>
      </w:pPr>
      <w:r>
        <w:rPr>
          <w:rFonts w:ascii="Times New Roman" w:hAnsi="Times New Roman"/>
          <w:b w:val="false"/>
          <w:i w:val="false"/>
          <w:color w:val="000000"/>
          <w:sz w:val="21"/>
        </w:rPr>
        <w:t>[Filed ARC 8446B</w:t>
      </w:r>
      <w:r>
        <w:rPr>
          <w:rFonts w:ascii="Times New Roman" w:hAnsi="Times New Roman"/>
          <w:b w:val="false"/>
          <w:i w:val="false"/>
          <w:color w:val="000000"/>
          <w:sz w:val="21"/>
        </w:rPr>
        <w:t xml:space="preserve"> (Notice ARC 8208B,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0582C</w:t>
      </w:r>
      <w:r>
        <w:rPr>
          <w:rFonts w:ascii="Times New Roman" w:hAnsi="Times New Roman"/>
          <w:b w:val="false"/>
          <w:i w:val="false"/>
          <w:color w:val="000000"/>
          <w:sz w:val="21"/>
        </w:rPr>
        <w:t xml:space="preserve"> (Notice ARC 0433C,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0995C</w:t>
      </w:r>
      <w:r>
        <w:rPr>
          <w:rFonts w:ascii="Times New Roman" w:hAnsi="Times New Roman"/>
          <w:b w:val="false"/>
          <w:i w:val="false"/>
          <w:color w:val="000000"/>
          <w:sz w:val="21"/>
        </w:rPr>
        <w:t xml:space="preserve"> (Notice ARC 0788C,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2886C</w:t>
      </w:r>
      <w:r>
        <w:rPr>
          <w:rFonts w:ascii="Times New Roman" w:hAnsi="Times New Roman"/>
          <w:b w:val="false"/>
          <w:i w:val="false"/>
          <w:color w:val="000000"/>
          <w:sz w:val="21"/>
        </w:rPr>
        <w:t xml:space="preserve"> (Notice ARC 2775C, IAB 10/12/16)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6776C</w:t>
      </w:r>
      <w:r>
        <w:rPr>
          <w:rFonts w:ascii="Times New Roman" w:hAnsi="Times New Roman"/>
          <w:b w:val="false"/>
          <w:i w:val="false"/>
          <w:color w:val="000000"/>
          <w:sz w:val="21"/>
        </w:rPr>
        <w:t xml:space="preserve"> (Notice ARC 6589C,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6852C</w:t>
      </w:r>
      <w:r>
        <w:rPr>
          <w:rFonts w:ascii="Times New Roman" w:hAnsi="Times New Roman"/>
          <w:b w:val="false"/>
          <w:i w:val="false"/>
          <w:color w:val="000000"/>
          <w:sz w:val="21"/>
        </w:rPr>
        <w:t xml:space="preserve"> (Notice ARC 6691C,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9066C</w:t>
      </w:r>
      <w:r>
        <w:rPr>
          <w:rFonts w:ascii="Times New Roman" w:hAnsi="Times New Roman"/>
          <w:b w:val="false"/>
          <w:i w:val="false"/>
          <w:color w:val="000000"/>
          <w:sz w:val="21"/>
        </w:rPr>
        <w:t xml:space="preserve"> (Notice ARC 8713C, IAB 1/8/25)</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[Filed ARC 9859C</w:t>
      </w:r>
      <w:r>
        <w:rPr>
          <w:rFonts w:ascii="Times New Roman" w:hAnsi="Times New Roman"/>
          <w:b w:val="false"/>
          <w:i w:val="false"/>
          <w:color w:val="000000"/>
          <w:sz w:val="21"/>
        </w:rPr>
        <w:t xml:space="preserve"> (Notice ARC 9642C, IAB 10/29/25)</w:t>
      </w:r>
      <w:r>
        <w:rPr>
          <w:rFonts w:ascii="Times New Roman" w:hAnsi="Times New Roman"/>
          <w:b w:val="false"/>
          <w:i w:val="false"/>
          <w:color w:val="000000"/>
          <w:sz w:val="21"/>
        </w:rPr>
        <w:t>, IAB 12/24/25, effective 2/1/26]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co/chapter/249A.12.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co/chapter/249A.12.pdf" Type="http://schemas.openxmlformats.org/officeDocument/2006/relationships/hyperlink" Id="rId8"/>
    <Relationship TargetMode="External" Target="https://www.legis.iowa.gov/docs/ico/chapter/249A.12.pdf" Type="http://schemas.openxmlformats.org/officeDocument/2006/relationships/hyperlink" Id="rId9"/>
    <Relationship TargetMode="External" Target="https://www.legis.iowa.gov/docs/iac/rule/441.82.4.pdf" Type="http://schemas.openxmlformats.org/officeDocument/2006/relationships/hyperlink" Id="rId10"/>
    <Relationship TargetMode="External" Target="https://www.legis.iowa.gov/docs/iac/rule/441.82.4.pdf" Type="http://schemas.openxmlformats.org/officeDocument/2006/relationships/hyperlink" Id="rId11"/>
    <Relationship TargetMode="External" Target="https://www.legis.iowa.gov/docs/iac/rule/441.82.4.pdf" Type="http://schemas.openxmlformats.org/officeDocument/2006/relationships/hyperlink" Id="rId12"/>
    <Relationship TargetMode="External" Target="https://www.legis.iowa.gov/docs/iac/rule/441.82.4.pdf" Type="http://schemas.openxmlformats.org/officeDocument/2006/relationships/hyperlink" Id="rId13"/>
    <Relationship TargetMode="External" Target="https://www.legis.iowa.gov/docs/iac/rule/441.82.4.pdf" Type="http://schemas.openxmlformats.org/officeDocument/2006/relationships/hyperlink" Id="rId14"/>
    <Relationship TargetMode="External" Target="https://www.legis.iowa.gov/docs/ico/chapter/324A.1.pdf" Type="http://schemas.openxmlformats.org/officeDocument/2006/relationships/hyperlink" Id="rId15"/>
    <Relationship TargetMode="External" Target="https://www.legis.iowa.gov/docs/ico/chapter/324A.pdf" Type="http://schemas.openxmlformats.org/officeDocument/2006/relationships/hyperlink" Id="rId16"/>
    <Relationship TargetMode="External" Target="https://www.legis.iowa.gov/docs/iac/chapter/761.910.pdf" Type="http://schemas.openxmlformats.org/officeDocument/2006/relationships/hyperlink" Id="rId17"/>
    <Relationship TargetMode="External" Target="https://www.legis.iowa.gov/docs/iac/chapter/441.36.pdf" Type="http://schemas.openxmlformats.org/officeDocument/2006/relationships/hyperlink" Id="rId18"/>
    <Relationship TargetMode="External" Target="https://www.legis.iowa.gov/docs/iac/rule/441.82.4.pdf" Type="http://schemas.openxmlformats.org/officeDocument/2006/relationships/hyperlink" Id="rId19"/>
    <Relationship TargetMode="External" Target="https://www.legis.iowa.gov/docs/iac/rule/441.82.4.pdf" Type="http://schemas.openxmlformats.org/officeDocument/2006/relationships/hyperlink" Id="rId20"/>
    <Relationship TargetMode="External" Target="https://www.legis.iowa.gov/docs/iac/rule/441.82.4.pdf" Type="http://schemas.openxmlformats.org/officeDocument/2006/relationships/hyperlink" Id="rId21"/>
    <Relationship TargetMode="External" Target="https://www.legis.iowa.gov/docs/iac/rule/441.82.4.pdf" Type="http://schemas.openxmlformats.org/officeDocument/2006/relationships/hyperlink" Id="rId22"/>
    <Relationship TargetMode="External" Target="https://www.legis.iowa.gov/docs/iac/rule/441.82.4.pdf" Type="http://schemas.openxmlformats.org/officeDocument/2006/relationships/hyperlink" Id="rId23"/>
    <Relationship TargetMode="External" Target="https://www.legis.iowa.gov/docs/iac/rule/441.82.4.pdf" Type="http://schemas.openxmlformats.org/officeDocument/2006/relationships/hyperlink" Id="rId24"/>
    <Relationship TargetMode="External" Target="https://www.legis.iowa.gov/docs/iac/rule/441.82.4.pdf" Type="http://schemas.openxmlformats.org/officeDocument/2006/relationships/hyperlink" Id="rId25"/>
    <Relationship TargetMode="External" Target="https://www.legis.iowa.gov/docs/ico/chapter/249A.12.pdf" Type="http://schemas.openxmlformats.org/officeDocument/2006/relationships/hyperlink" Id="rId26"/>
    <Relationship TargetMode="External" Target="https://www.legis.iowa.gov/docs/ico/chapter/249A.16.pdf" Type="http://schemas.openxmlformats.org/officeDocument/2006/relationships/hyperlink" Id="rId27"/>
    <Relationship TargetMode="External" Target="https://www.legis.iowa.gov/docs/ico/chapter/249A.12.pdf" Type="http://schemas.openxmlformats.org/officeDocument/2006/relationships/hyperlink" Id="rId28"/>
    <Relationship TargetMode="External" Target="https://www.legis.iowa.gov/docs/iac/rule/441.82.6.pdf" Type="http://schemas.openxmlformats.org/officeDocument/2006/relationships/hyperlink" Id="rId29"/>
    <Relationship TargetMode="External" Target="https://www.legis.iowa.gov/docs/iac/chapter/441.73.pdf" Type="http://schemas.openxmlformats.org/officeDocument/2006/relationships/hyperlink" Id="rId30"/>
    <Relationship TargetMode="External" Target="https://www.legis.iowa.gov/docs/iac/rule/441.16.3.pdf" Type="http://schemas.openxmlformats.org/officeDocument/2006/relationships/hyperlink" Id="rId31"/>
    <Relationship TargetMode="External" Target="https://www.legis.iowa.gov/docs/iac/chapter/441.2506.pdf" Type="http://schemas.openxmlformats.org/officeDocument/2006/relationships/hyperlink" Id="rId32"/>
    <Relationship TargetMode="External" Target="https://www.legis.iowa.gov/docs/ico/chapter/249A.12.pdf" Type="http://schemas.openxmlformats.org/officeDocument/2006/relationships/hyperlink" Id="rId33"/>
    <Relationship TargetMode="External" Target="https://www.legis.iowa.gov/docs/ico/chapter/249A.12.pdf" Type="http://schemas.openxmlformats.org/officeDocument/2006/relationships/hyperlink" Id="rId34"/>
    <Relationship TargetMode="External" Target="https://www.legis.iowa.gov/docs/ico/chapter/249A.12.pdf" Type="http://schemas.openxmlformats.org/officeDocument/2006/relationships/hyperlink" Id="rId35"/>
    <Relationship TargetMode="External" Target="https://www.legis.iowa.gov/docs/ico/chapter/249A.12.pdf" Type="http://schemas.openxmlformats.org/officeDocument/2006/relationships/hyperlink" Id="rId36"/>
    <Relationship TargetMode="External" Target="https://www.legis.iowa.gov/docs/ico/chapter/249A.12.pdf" Type="http://schemas.openxmlformats.org/officeDocument/2006/relationships/hyperlink" Id="rId37"/>
    <Relationship TargetMode="External" Target="https://www.legis.iowa.gov/docs/iac/rule/441.82.4.pdf" Type="http://schemas.openxmlformats.org/officeDocument/2006/relationships/hyperlink" Id="rId38"/>
    <Relationship TargetMode="External" Target="https://www.legis.iowa.gov/docs/ico/chapter/249A.12.pdf" Type="http://schemas.openxmlformats.org/officeDocument/2006/relationships/hyperlink" Id="rId39"/>
    <Relationship TargetMode="External" Target="https://www.legis.iowa.gov/docs/ico/chapter/249A.12.pdf" Type="http://schemas.openxmlformats.org/officeDocument/2006/relationships/hyperlink" Id="rId40"/>
    <Relationship TargetMode="External" Target="https://www.legis.iowa.gov/docs/ico/chapter/249A.12.pdf" Type="http://schemas.openxmlformats.org/officeDocument/2006/relationships/hyperlink" Id="rId41"/>
    <Relationship TargetMode="External" Target="https://www.legis.iowa.gov/docs/iac/rule/441.82.4.pdf" Type="http://schemas.openxmlformats.org/officeDocument/2006/relationships/hyperlink" Id="rId42"/>
    <Relationship TargetMode="External" Target="https://www.legis.iowa.gov/docs/iac/rule/441.82.8.pdf" Type="http://schemas.openxmlformats.org/officeDocument/2006/relationships/hyperlink" Id="rId43"/>
    <Relationship TargetMode="External" Target="https://www.legis.iowa.gov/docs/iac/rule/441.82.14.pdf" Type="http://schemas.openxmlformats.org/officeDocument/2006/relationships/hyperlink" Id="rId44"/>
    <Relationship TargetMode="External" Target="https://www.legis.iowa.gov/docs/ico/chapter/249A.12.pdf" Type="http://schemas.openxmlformats.org/officeDocument/2006/relationships/hyperlink" Id="rId45"/>
    <Relationship TargetMode="External" Target="https://www.legis.iowa.gov/docs/iac/rule/441.81.56.pdf" Type="http://schemas.openxmlformats.org/officeDocument/2006/relationships/hyperlink" Id="rId46"/>
    <Relationship TargetMode="External" Target="https://www.legis.iowa.gov/docs/ico/chapter/249A.12.pdf" Type="http://schemas.openxmlformats.org/officeDocument/2006/relationships/hyperlink" Id="rId47"/>
    <Relationship TargetMode="External" Target="https://www.legis.iowa.gov/docs/iac/rule/441.75.16.pdf" Type="http://schemas.openxmlformats.org/officeDocument/2006/relationships/hyperlink" Id="rId48"/>
    <Relationship TargetMode="External" Target="https://www.legis.iowa.gov/docs/ico/chapter/249A.30A.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