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PROCEDURE AND METHOD OF PAYMENT</w:t>
      </w:r>
    </w:p>
    <w:p>
      <w:pPr>
        <w:spacing w:before="0" w:after="0"/>
        <w:ind w:left="120"/>
        <w:jc w:val="center"/>
      </w:pPr>
      <w:r>
        <w:rPr>
          <w:rFonts w:ascii="Times New Roman" w:hAnsi="Times New Roman"/>
          <w:b w:val="false"/>
          <w:i w:val="false"/>
          <w:color w:val="000000"/>
          <w:sz w:val="14"/>
        </w:rPr>
        <w:t>[Prior to 7/1/83, Social Services[770] Ch 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441—80.1</w:t>
      </w:r>
      <w:r>
        <w:rPr>
          <w:rFonts w:ascii="Times New Roman" w:hAnsi="Times New Roman"/>
          <w:b/>
          <w:i w:val="false"/>
          <w:color w:val="000000"/>
          <w:sz w:val="22"/>
        </w:rPr>
        <w:t xml:space="preserve">(249A) </w:t>
      </w:r>
      <w:r>
        <w:rPr>
          <w:rFonts w:ascii="Times New Roman" w:hAnsi="Times New Roman"/>
          <w:b/>
          <w:i w:val="false"/>
          <w:color w:val="000000"/>
          <w:sz w:val="22"/>
        </w:rPr>
        <w:t xml:space="preserve">Submission of claims. </w:t>
      </w:r>
      <w:r>
        <w:rPr>
          <w:rFonts w:ascii="Times New Roman" w:hAnsi="Times New Roman"/>
          <w:b w:val="false"/>
          <w:i w:val="false"/>
          <w:color w:val="000000"/>
          <w:sz w:val="22"/>
        </w:rPr>
        <w:t>Providers of medical and remedial care participating in the program shall submit claims for services rendered to Iowa Medicaid on at least a monthly basis. All nursing facilities and providers of home- and community-based services shall submit claims for services after the end of the calendar month in which the services are provided. Following audit of the claim, Iowa Medicaid will make payment to the provider of care. The provider manual, Chapter IV, Billing Iowa Medicaid, found on the department’s website and as amended to July 1, 2026, will detail the specific manner and frequency in which claims are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80.1(1)</w:t>
      </w:r>
      <w:r>
        <w:rPr>
          <w:rFonts w:ascii="Times New Roman" w:hAnsi="Times New Roman"/>
          <w:b w:val="false"/>
          <w:i w:val="false"/>
          <w:color w:val="000000"/>
          <w:sz w:val="22"/>
        </w:rPr>
        <w:t> </w:t>
      </w:r>
      <w:r>
        <w:rPr>
          <w:rFonts w:ascii="Times New Roman" w:hAnsi="Times New Roman"/>
          <w:b w:val="false"/>
          <w:i w:val="false"/>
          <w:color w:val="000000"/>
          <w:sz w:val="22"/>
        </w:rPr>
        <w:t>Electronic submission. Providers are required to submit claims electronically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80.1(2)</w:t>
      </w:r>
      <w:r>
        <w:rPr>
          <w:rFonts w:ascii="Times New Roman" w:hAnsi="Times New Roman"/>
          <w:b w:val="false"/>
          <w:i w:val="false"/>
          <w:color w:val="000000"/>
          <w:sz w:val="22"/>
        </w:rPr>
        <w:t> </w:t>
      </w:r>
      <w:r>
        <w:rPr>
          <w:rFonts w:ascii="Times New Roman" w:hAnsi="Times New Roman"/>
          <w:b w:val="false"/>
          <w:i w:val="false"/>
          <w:color w:val="000000"/>
          <w:sz w:val="22"/>
        </w:rPr>
        <w:t>For fee-for-service members, providers billing claims for Medicare beneficiaries that do not cross over electronically to Iowa Medicaid must submit the following electronically, in accordance with the All Providers manual, Chapter IV, Billing Iowa Medicaid, located on the department’s website and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 UB-04.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 CMS-1500. The Explanation of Medicare Benefits (EOMB) is only required when requested by Iowa Medicaid.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441—80.2</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from other sources. </w:t>
      </w:r>
      <w:r>
        <w:rPr>
          <w:rFonts w:ascii="Times New Roman" w:hAnsi="Times New Roman"/>
          <w:b w:val="false"/>
          <w:i w:val="false"/>
          <w:color w:val="000000"/>
          <w:sz w:val="22"/>
        </w:rPr>
        <w:t>This rule applies to claims for the department, managed care organizations, and the Public Health Associate Program (PHAP).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80.2(1)</w:t>
      </w:r>
      <w:r>
        <w:rPr>
          <w:rFonts w:ascii="Times New Roman" w:hAnsi="Times New Roman"/>
          <w:b w:val="false"/>
          <w:i w:val="false"/>
          <w:color w:val="000000"/>
          <w:sz w:val="22"/>
        </w:rPr>
        <w:t> </w:t>
      </w:r>
      <w:r>
        <w:rPr>
          <w:rFonts w:ascii="Times New Roman" w:hAnsi="Times New Roman"/>
          <w:b w:val="false"/>
          <w:i/>
          <w:color w:val="000000"/>
          <w:sz w:val="22"/>
        </w:rPr>
        <w:t xml:space="preserve">Payments deducted. </w:t>
      </w:r>
      <w:r>
        <w:rPr>
          <w:rFonts w:ascii="Times New Roman" w:hAnsi="Times New Roman"/>
          <w:b w:val="false"/>
          <w:i w:val="false"/>
          <w:color w:val="000000"/>
          <w:sz w:val="22"/>
        </w:rPr>
        <w:t>The amount of any payment made directly to the provider of care by the recipient, relatives, or any source will be deducted from the established cost standard for the service provided to establish the amount of payment to be made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80.2(2)</w:t>
      </w:r>
      <w:r>
        <w:rPr>
          <w:rFonts w:ascii="Times New Roman" w:hAnsi="Times New Roman"/>
          <w:b w:val="false"/>
          <w:i w:val="false"/>
          <w:color w:val="000000"/>
          <w:sz w:val="22"/>
        </w:rPr>
        <w:t> </w:t>
      </w:r>
      <w:r>
        <w:rPr>
          <w:rFonts w:ascii="Times New Roman" w:hAnsi="Times New Roman"/>
          <w:b w:val="false"/>
          <w:i/>
          <w:color w:val="000000"/>
          <w:sz w:val="22"/>
        </w:rPr>
        <w:t xml:space="preserve">Third-party liability.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third-party liability for medical expenses exists, this resource will be utilized for payment of a claim before the Medicaid program makes payment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pays the total amount allowed under the Medicaid payment schedule and then seeks reimbursement from the liable third party. This “pay and chase” provision applies to claims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Preventive pediatric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services provided to a person for whom there is court-ordered medical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Otherwise authorized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claims must be clean claims. A clean claim is defined as a claim that has no defect or impropriety (including any lack of required substantiating documentation) or particular circumstance requiring special treatment that prevents timely payment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80.2(3)</w:t>
      </w:r>
      <w:r>
        <w:rPr>
          <w:rFonts w:ascii="Times New Roman" w:hAnsi="Times New Roman"/>
          <w:b w:val="false"/>
          <w:i w:val="false"/>
          <w:color w:val="000000"/>
          <w:sz w:val="22"/>
        </w:rPr>
        <w:t> </w:t>
      </w:r>
      <w:r>
        <w:rPr>
          <w:rFonts w:ascii="Times New Roman" w:hAnsi="Times New Roman"/>
          <w:b w:val="false"/>
          <w:i/>
          <w:color w:val="000000"/>
          <w:sz w:val="22"/>
        </w:rPr>
        <w:t xml:space="preserve">Recovery from third parties legally responsible to pay for health care. </w:t>
      </w:r>
      <w:r>
        <w:rPr>
          <w:rFonts w:ascii="Times New Roman" w:hAnsi="Times New Roman"/>
          <w:b w:val="false"/>
          <w:i w:val="false"/>
          <w:color w:val="000000"/>
          <w:sz w:val="22"/>
        </w:rPr>
        <w:t>Parties that are, by statute, contract, or agreement, legally responsible for payment of a claim for a health care item or service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later than 60 days after receiving any inquiry by the state regarding a claim for payment for any health care item or service that is submitted no later than three years after the date of the provision of the item or service, respond to such inquiry,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1396a(25)(I)(iii)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Agree not to deny any claim submitted by the state solely because of the date of submission of the claim, the type or format of the claim form, a failure to present proper documentation at the point of sale that is the basis of the claim, or, in the case of a responsible third party (other than the original Medicare fee-for-service program under Parts A and B of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Chapter 7, Subchapter XVIII as amended to July 1, 2026, a Medicare Advantage plan offered by a Medicare Advantage organization under Part C of </w:t>
      </w:r>
      <w:r>
        <w:rPr>
          <w:rFonts w:ascii="Times New Roman" w:hAnsi="Times New Roman"/>
          <w:b w:val="false"/>
          <w:i w:val="false"/>
          <w:color w:val="000000"/>
          <w:sz w:val="22"/>
        </w:rPr>
        <w:t xml:space="preserve">42 U.S.C. Chapter </w:t>
      </w:r>
      <w:hyperlink r:id="rId5">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Subchapter XVIII as amended to July 1, 2026, a reasonable cost of reimbursement plan unde</w:t>
      </w:r>
      <w:r>
        <w:rPr>
          <w:rFonts w:ascii="Times New Roman" w:hAnsi="Times New Roman"/>
          <w:b w:val="false"/>
          <w:i w:val="false"/>
          <w:color w:val="000000"/>
          <w:sz w:val="22"/>
        </w:rPr>
        <w:t xml:space="preserv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1395mm as amended to July 1, 2026, a health care prepayment plan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1395l as amended to July 1, 2026, or a prescription drug plan (PDP) offered by a PDP sponsor under Part D of </w:t>
      </w:r>
      <w:r>
        <w:rPr>
          <w:rFonts w:ascii="Times New Roman" w:hAnsi="Times New Roman"/>
          <w:b w:val="false"/>
          <w:i w:val="false"/>
          <w:color w:val="000000"/>
          <w:sz w:val="22"/>
        </w:rPr>
        <w:t xml:space="preserve">42 U.S.C. Chapter 7, Subchapter XVIII as amended to July 1, 2026), a failure to obtain a prior authorization for the item or service for which the claim is being submitted, if both of the following conditions are </w:t>
      </w:r>
      <w:r>
        <w:rPr>
          <w:rFonts w:ascii="Times New Roman" w:hAnsi="Times New Roman"/>
          <w:b w:val="false"/>
          <w:i w:val="false"/>
          <w:color w:val="000000"/>
          <w:sz w:val="22"/>
        </w:rPr>
        <w:t>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claim is submitted to the entity by the state within the three-year period beginning on the date on which the item or service was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action by the state to enforce its rights with respect to the claim is commenced within six years of the date that the claim was submitted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Reimburse the Medicaid program within 90 days of the request for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Agree not to deny any claim submitted by the state solely because of lack of prior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441—80.3</w:t>
      </w:r>
      <w:r>
        <w:rPr>
          <w:rFonts w:ascii="Times New Roman" w:hAnsi="Times New Roman"/>
          <w:b/>
          <w:i w:val="false"/>
          <w:color w:val="000000"/>
          <w:sz w:val="22"/>
        </w:rPr>
        <w:t xml:space="preserve">(249A) </w:t>
      </w:r>
      <w:r>
        <w:rPr>
          <w:rFonts w:ascii="Times New Roman" w:hAnsi="Times New Roman"/>
          <w:b/>
          <w:i w:val="false"/>
          <w:color w:val="000000"/>
          <w:sz w:val="22"/>
        </w:rPr>
        <w:t xml:space="preserve">Time limit for submission of claims and claim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80.3(1)</w:t>
      </w:r>
      <w:r>
        <w:rPr>
          <w:rFonts w:ascii="Times New Roman" w:hAnsi="Times New Roman"/>
          <w:b w:val="false"/>
          <w:i w:val="false"/>
          <w:color w:val="000000"/>
          <w:sz w:val="22"/>
        </w:rPr>
        <w:t> </w:t>
      </w:r>
      <w:r>
        <w:rPr>
          <w:rFonts w:ascii="Times New Roman" w:hAnsi="Times New Roman"/>
          <w:b w:val="false"/>
          <w:i/>
          <w:color w:val="000000"/>
          <w:sz w:val="22"/>
        </w:rPr>
        <w:t xml:space="preserve">Submission of claims. </w:t>
      </w:r>
      <w:r>
        <w:rPr>
          <w:rFonts w:ascii="Times New Roman" w:hAnsi="Times New Roman"/>
          <w:b w:val="false"/>
          <w:i w:val="false"/>
          <w:color w:val="000000"/>
          <w:sz w:val="22"/>
        </w:rPr>
        <w:t>Payment will not be made on any claim when the amount of time that has elapsed between the date the service was rendered and the date the initial claim is received by Iowa Medicaid exceeds 365 days. The department will consider claims submitted beyond the 365-day limit for payment only if retroactive eligibility on newly approved cases is made that exceeds 365 days or if attempts to collect from a third-party payer delay the submission of a claim. In the case of retroactive eligibility, the claim must be received within 365 days of the first notice of eligibility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w:t>
      </w:r>
      <w:r>
        <w:rPr>
          <w:rFonts w:ascii="Times New Roman" w:hAnsi="Times New Roman"/>
          <w:b w:val="false"/>
          <w:i w:val="false"/>
          <w:color w:val="000000"/>
          <w:sz w:val="22"/>
        </w:rPr>
        <w:t> </w:t>
      </w:r>
      <w:r>
        <w:rPr>
          <w:rFonts w:ascii="Times New Roman" w:hAnsi="Times New Roman"/>
          <w:b w:val="false"/>
          <w:i/>
          <w:color w:val="000000"/>
          <w:sz w:val="22"/>
        </w:rPr>
        <w:t xml:space="preserve">Claim adjustments and resubmissions. </w:t>
      </w:r>
      <w:r>
        <w:rPr>
          <w:rFonts w:ascii="Times New Roman" w:hAnsi="Times New Roman"/>
          <w:b w:val="false"/>
          <w:i w:val="false"/>
          <w:color w:val="000000"/>
          <w:sz w:val="22"/>
        </w:rPr>
        <w:t>A provider’s request for an adjustment to a paid claim or resubmission of a denied claim must be received by Iowa Medicaid within 365 days from the date the claim was last adjudicated in order to have the adjustment or resubmission considered. In no case will a claim be paid if the claim is received beyond two years from the date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80.3(3)</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a claim is “received” when entered into the department’s payment system with an action of pay, deny, or suspend. Any claim returned to the provider without such action is not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441—80.4</w:t>
      </w:r>
      <w:r>
        <w:rPr>
          <w:rFonts w:ascii="Times New Roman" w:hAnsi="Times New Roman"/>
          <w:b/>
          <w:i w:val="false"/>
          <w:color w:val="000000"/>
          <w:sz w:val="22"/>
        </w:rPr>
        <w:t xml:space="preserve">(249A) </w:t>
      </w:r>
      <w:r>
        <w:rPr>
          <w:rFonts w:ascii="Times New Roman" w:hAnsi="Times New Roman"/>
          <w:b/>
          <w:i w:val="false"/>
          <w:color w:val="000000"/>
          <w:sz w:val="22"/>
        </w:rPr>
        <w:t xml:space="preserve">Authorization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color w:val="000000"/>
          <w:sz w:val="22"/>
        </w:rPr>
        <w:t xml:space="preserve">Identification cards. </w:t>
      </w:r>
      <w:r>
        <w:rPr>
          <w:rFonts w:ascii="Times New Roman" w:hAnsi="Times New Roman"/>
          <w:b w:val="false"/>
          <w:i w:val="false"/>
          <w:color w:val="000000"/>
          <w:sz w:val="22"/>
        </w:rPr>
        <w:t xml:space="preserve">The department will issue a medical assistance eligibility card to members for use in securing medical and health services available under the program except as provided in </w:t>
      </w:r>
      <w:hyperlink r:id="rId6">
        <w:r>
          <w:rPr>
            <w:rStyle w:val="Hyperlink"/>
            <w:rFonts w:ascii="Times New Roman" w:hAnsi="Times New Roman"/>
            <w:b w:val="false"/>
            <w:i w:val="false"/>
            <w:color w:val="000000"/>
            <w:sz w:val="22"/>
          </w:rPr>
          <w:t>441—Chapter 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the medical assistance eligibility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member’s eligibility is initially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the member’s request for replacement of a lost, stolen, or damaged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medical assistance eligibility card is valid only for months in which the member has established eligibility as indicated on the department’s eligibility verification system (ELVS). Payment will be made for services provided to an ineligible person when ELVS indicates that the person was eligible for the period in which the service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441—80.5</w:t>
      </w:r>
      <w:r>
        <w:rPr>
          <w:rFonts w:ascii="Times New Roman" w:hAnsi="Times New Roman"/>
          <w:b/>
          <w:i w:val="false"/>
          <w:color w:val="000000"/>
          <w:sz w:val="22"/>
        </w:rPr>
        <w:t xml:space="preserve">(249A) </w:t>
      </w:r>
      <w:r>
        <w:rPr>
          <w:rFonts w:ascii="Times New Roman" w:hAnsi="Times New Roman"/>
          <w:b/>
          <w:i w:val="false"/>
          <w:color w:val="000000"/>
          <w:sz w:val="22"/>
        </w:rPr>
        <w:t xml:space="preserve">Payment to provider—exception. </w:t>
      </w:r>
      <w:r>
        <w:rPr>
          <w:rFonts w:ascii="Times New Roman" w:hAnsi="Times New Roman"/>
          <w:b w:val="false"/>
          <w:i w:val="false"/>
          <w:color w:val="000000"/>
          <w:sz w:val="22"/>
        </w:rPr>
        <w:t>Payments for medical services may be made only to the provider of the services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80.5(1)</w:t>
      </w:r>
      <w:r>
        <w:rPr>
          <w:rFonts w:ascii="Times New Roman" w:hAnsi="Times New Roman"/>
          <w:b w:val="false"/>
          <w:i w:val="false"/>
          <w:color w:val="000000"/>
          <w:sz w:val="22"/>
        </w:rPr>
        <w:t> </w:t>
      </w:r>
      <w:r>
        <w:rPr>
          <w:rFonts w:ascii="Times New Roman" w:hAnsi="Times New Roman"/>
          <w:b w:val="false"/>
          <w:i/>
          <w:color w:val="000000"/>
          <w:sz w:val="22"/>
        </w:rPr>
        <w:t xml:space="preserve">Medical assistance corrective payments. </w:t>
      </w:r>
      <w:r>
        <w:rPr>
          <w:rFonts w:ascii="Times New Roman" w:hAnsi="Times New Roman"/>
          <w:b w:val="false"/>
          <w:i w:val="false"/>
          <w:color w:val="000000"/>
          <w:sz w:val="22"/>
        </w:rPr>
        <w:t xml:space="preserve">Payment may be made to the client or county relief agency in accordance with </w:t>
      </w:r>
      <w:hyperlink r:id="rId7">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w:t>
      </w:r>
      <w:r>
        <w:rPr>
          <w:rFonts w:ascii="Times New Roman" w:hAnsi="Times New Roman"/>
          <w:b w:val="false"/>
          <w:i w:val="false"/>
          <w:color w:val="000000"/>
          <w:sz w:val="22"/>
        </w:rPr>
        <w:t> </w:t>
      </w:r>
      <w:r>
        <w:rPr>
          <w:rFonts w:ascii="Times New Roman" w:hAnsi="Times New Roman"/>
          <w:b w:val="false"/>
          <w:i/>
          <w:color w:val="000000"/>
          <w:sz w:val="22"/>
        </w:rPr>
        <w:t xml:space="preserve">Assignment. </w:t>
      </w:r>
      <w:r>
        <w:rPr>
          <w:rFonts w:ascii="Times New Roman" w:hAnsi="Times New Roman"/>
          <w:b w:val="false"/>
          <w:i w:val="false"/>
          <w:color w:val="000000"/>
          <w:sz w:val="22"/>
        </w:rPr>
        <w:t>Payment may be made in accordance with an assignment to a county for medical services received while the recipient was receiving interim assistance or while an appeal of a denial of medical assistance was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80.5(3)</w:t>
      </w:r>
      <w:r>
        <w:rPr>
          <w:rFonts w:ascii="Times New Roman" w:hAnsi="Times New Roman"/>
          <w:b w:val="false"/>
          <w:i w:val="false"/>
          <w:color w:val="000000"/>
          <w:sz w:val="22"/>
        </w:rPr>
        <w:t> </w:t>
      </w:r>
      <w:r>
        <w:rPr>
          <w:rFonts w:ascii="Times New Roman" w:hAnsi="Times New Roman"/>
          <w:b w:val="false"/>
          <w:i/>
          <w:color w:val="000000"/>
          <w:sz w:val="22"/>
        </w:rPr>
        <w:t xml:space="preserve">Business agent of provider. </w:t>
      </w:r>
      <w:r>
        <w:rPr>
          <w:rFonts w:ascii="Times New Roman" w:hAnsi="Times New Roman"/>
          <w:b w:val="false"/>
          <w:i w:val="false"/>
          <w:color w:val="000000"/>
          <w:sz w:val="22"/>
        </w:rPr>
        <w:t>Payment may be made to a business agent that furnishes statements and receives payments in the name of the provider if the agent’s compensation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Related to the cost of processing the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related on a percentage or other basis to the amount that is billed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dependent upon the collection of the 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441—80.6</w:t>
      </w:r>
      <w:r>
        <w:rPr>
          <w:rFonts w:ascii="Times New Roman" w:hAnsi="Times New Roman"/>
          <w:b/>
          <w:i w:val="false"/>
          <w:color w:val="000000"/>
          <w:sz w:val="22"/>
        </w:rPr>
        <w:t xml:space="preserve">(249A) </w:t>
      </w:r>
      <w:r>
        <w:rPr>
          <w:rFonts w:ascii="Times New Roman" w:hAnsi="Times New Roman"/>
          <w:b/>
          <w:i w:val="false"/>
          <w:color w:val="000000"/>
          <w:sz w:val="22"/>
        </w:rPr>
        <w:t xml:space="preserve">Health care data match program. </w:t>
      </w:r>
      <w:r>
        <w:rPr>
          <w:rFonts w:ascii="Times New Roman" w:hAnsi="Times New Roman"/>
          <w:b w:val="false"/>
          <w:i w:val="false"/>
          <w:color w:val="000000"/>
          <w:sz w:val="22"/>
        </w:rPr>
        <w:t>As a condition of doing business in Iowa, health insurers shall provide, upon the request of the state, information with respect to individuals who are eligible for or are provided medical assistance under the state’s medical assistance plan to determine (1) during what period the member or the member’s spouse or dependents may be or may have been covered by a health insurer and (2) the nature of the coverage that is or was provided by the health insurer. This requirement applies to self-insured plans, group health plans as defined in the federal Employee Retirement Income Security Act of 1974 (Public Law 93-406 as amended to July 1, 2026), service benefit plans, managed care organizations, pharmacy benefits managers, and other parties that are, by statute, contract, or agreement, legally responsible for payment of a claim for a health care item 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80.6(1)</w:t>
      </w:r>
      <w:r>
        <w:rPr>
          <w:rFonts w:ascii="Times New Roman" w:hAnsi="Times New Roman"/>
          <w:b w:val="false"/>
          <w:i w:val="false"/>
          <w:color w:val="000000"/>
          <w:sz w:val="22"/>
        </w:rPr>
        <w:t> </w:t>
      </w:r>
      <w:r>
        <w:rPr>
          <w:rFonts w:ascii="Times New Roman" w:hAnsi="Times New Roman"/>
          <w:b w:val="false"/>
          <w:i/>
          <w:color w:val="000000"/>
          <w:sz w:val="22"/>
        </w:rPr>
        <w:t xml:space="preserve">Agreement required. </w:t>
      </w:r>
      <w:r>
        <w:rPr>
          <w:rFonts w:ascii="Times New Roman" w:hAnsi="Times New Roman"/>
          <w:b w:val="false"/>
          <w:i w:val="false"/>
          <w:color w:val="000000"/>
          <w:sz w:val="22"/>
        </w:rPr>
        <w:t>The parties shall sign a data use agreement for the purposes of this rule. A data use agreement shall prescribe the specific detail elements required, any privacy protections, the manner in which information shall be provided to the department or its designee, and the acceptable uses of the information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initial provision of data shall include the data necessary to enable the department or its designee to match covered persons and identify third-party payors for the two-year period before the initial provision of the data. The data shall include the name, address, and identifying number of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Ongoing monthly matches may be limited to changes in the data previously provided, including additional covered persons, with the effective dates of the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80.6(2)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data. </w:t>
      </w:r>
      <w:r>
        <w:rPr>
          <w:rFonts w:ascii="Times New Roman" w:hAnsi="Times New Roman"/>
          <w:b w:val="false"/>
          <w:i w:val="false"/>
          <w:color w:val="000000"/>
          <w:sz w:val="22"/>
        </w:rPr>
        <w:t>The exchange of information carried out under this rule shall be consistent with all laws, regulations, and rules relating to the confidentiality or privacy of personal information or medical records,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federal Health Insurance Portability and Accountability Act of 1996, Public Law 104-191, as amended to July 1, 2026;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Regulations promulgated in accordance with that Act and published in 45 CFR Parts 160 through 164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0317D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March 11, 1970; amended September 5, 1973]</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8/2/79, Notice 5/30/79—published 8/22/79, effective 9/26/79]</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4/29/82, Notice 12/9/81—published 5/26/82, effective 7/1/82]</w:t>
      </w:r>
    </w:p>
    <w:p>
      <w:pPr>
        <w:spacing w:before="0" w:after="0"/>
        <w:ind w:left="120"/>
        <w:jc w:val="center"/>
      </w:pPr>
      <w:r>
        <w:rPr>
          <w:rFonts w:ascii="Times New Roman" w:hAnsi="Times New Roman"/>
          <w:b w:val="false"/>
          <w:i w:val="false"/>
          <w:color w:val="000000"/>
          <w:sz w:val="21"/>
        </w:rPr>
        <w:t>[Filed emergency 5/20/83—published 6/8/83, effective 6/1/83]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5/31/84 after Notice 4/11/84—published 6/20/84, effective 7/1/84]</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4/28/86, Notice 2/26/86—published 5/21/86, effective 7/1/86]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11/23/88 after Notices 7/13/88, 9/21/88—published 12/14/88, effective 1/1/89]</w:t>
      </w:r>
    </w:p>
    <w:p>
      <w:pPr>
        <w:spacing w:before="0" w:after="0"/>
        <w:ind w:left="120"/>
        <w:jc w:val="center"/>
      </w:pPr>
      <w:r>
        <w:rPr>
          <w:rFonts w:ascii="Times New Roman" w:hAnsi="Times New Roman"/>
          <w:b w:val="false"/>
          <w:i w:val="false"/>
          <w:color w:val="000000"/>
          <w:sz w:val="21"/>
        </w:rPr>
        <w:t>[Filed emergency 12/8/88 after Notices 10/19/88, 11/2/88—published 12/28/88, effective 1/1/89]</w:t>
      </w:r>
    </w:p>
    <w:p>
      <w:pPr>
        <w:spacing w:before="0" w:after="0"/>
        <w:ind w:left="120"/>
        <w:jc w:val="center"/>
      </w:pPr>
      <w:r>
        <w:rPr>
          <w:rFonts w:ascii="Times New Roman" w:hAnsi="Times New Roman"/>
          <w:b w:val="false"/>
          <w:i w:val="false"/>
          <w:color w:val="000000"/>
          <w:sz w:val="21"/>
        </w:rPr>
        <w:t>[Filed 7/14/89, Notices 4/19/89, 5/31/89—published 8/9/89, effective 10/1/89]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12/15/89 after Notice 10/4/89—published 1/10/90, effective 1/1/90]</w:t>
      </w:r>
    </w:p>
    <w:p>
      <w:pPr>
        <w:spacing w:before="0" w:after="0"/>
        <w:ind w:left="120"/>
        <w:jc w:val="center"/>
      </w:pPr>
      <w:r>
        <w:rPr>
          <w:rFonts w:ascii="Times New Roman" w:hAnsi="Times New Roman"/>
          <w:b w:val="false"/>
          <w:i w:val="false"/>
          <w:color w:val="000000"/>
          <w:sz w:val="21"/>
        </w:rPr>
        <w:t>[Filed 4/13/90, Notice 11/29/90—published 5/2/90, effective 8/1/90]</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8/8/91, Notice 6/26/91—published 9/4/91, effective 11/1/91]</w:t>
      </w:r>
    </w:p>
    <w:p>
      <w:pPr>
        <w:spacing w:before="0" w:after="0"/>
        <w:ind w:left="120"/>
        <w:jc w:val="center"/>
      </w:pPr>
      <w:r>
        <w:rPr>
          <w:rFonts w:ascii="Times New Roman" w:hAnsi="Times New Roman"/>
          <w:b w:val="false"/>
          <w:i w:val="false"/>
          <w:color w:val="000000"/>
          <w:sz w:val="21"/>
        </w:rPr>
        <w:t>[Filed 9/18/91, Notice 7/10/91—published 10/16/91, effective 12/1/91]</w:t>
      </w:r>
    </w:p>
    <w:p>
      <w:pPr>
        <w:spacing w:before="0" w:after="0"/>
        <w:ind w:left="120"/>
        <w:jc w:val="center"/>
      </w:pPr>
      <w:r>
        <w:rPr>
          <w:rFonts w:ascii="Times New Roman" w:hAnsi="Times New Roman"/>
          <w:b w:val="false"/>
          <w:i w:val="false"/>
          <w:color w:val="000000"/>
          <w:sz w:val="21"/>
        </w:rPr>
        <w:t>[Filed emergency 1/16/92 after Notice 11/29/91—published 2/5/92, effective 3/1/92]</w:t>
      </w:r>
    </w:p>
    <w:p>
      <w:pPr>
        <w:spacing w:before="0" w:after="0"/>
        <w:ind w:left="120"/>
        <w:jc w:val="center"/>
      </w:pPr>
      <w:r>
        <w:rPr>
          <w:rFonts w:ascii="Times New Roman" w:hAnsi="Times New Roman"/>
          <w:b w:val="false"/>
          <w:i w:val="false"/>
          <w:color w:val="000000"/>
          <w:sz w:val="21"/>
        </w:rPr>
        <w:t>[Filed 3/12/92, Notice 2/5/92—published 4/1/92, effective 7/1/92]</w:t>
      </w:r>
    </w:p>
    <w:p>
      <w:pPr>
        <w:spacing w:before="0" w:after="0"/>
        <w:ind w:left="120"/>
        <w:jc w:val="center"/>
      </w:pPr>
      <w:r>
        <w:rPr>
          <w:rFonts w:ascii="Times New Roman" w:hAnsi="Times New Roman"/>
          <w:b w:val="false"/>
          <w:i w:val="false"/>
          <w:color w:val="000000"/>
          <w:sz w:val="21"/>
        </w:rPr>
        <w:t>[Filed 1/14/93, Notice 11/11/92—published 2/3/93, effective 4/1/93]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4/14/94, Notice 2/16/94—published 5/11/94, effective 7/1/94]</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12/12/01, Notice 7/11/01—published 1/9/02, effective 3/1/02]</w:t>
      </w:r>
    </w:p>
    <w:p>
      <w:pPr>
        <w:spacing w:before="0" w:after="0"/>
        <w:ind w:left="120"/>
        <w:jc w:val="center"/>
      </w:pPr>
      <w:r>
        <w:rPr>
          <w:rFonts w:ascii="Times New Roman" w:hAnsi="Times New Roman"/>
          <w:b w:val="false"/>
          <w:i w:val="false"/>
          <w:color w:val="000000"/>
          <w:sz w:val="21"/>
        </w:rPr>
        <w:t>[Filed emergency 1/9/02 after Notice 11/14/01—published 2/6/02, effective 2/1/02]</w:t>
      </w:r>
    </w:p>
    <w:p>
      <w:pPr>
        <w:spacing w:before="0" w:after="0"/>
        <w:ind w:left="120"/>
        <w:jc w:val="center"/>
      </w:pPr>
      <w:r>
        <w:rPr>
          <w:rFonts w:ascii="Times New Roman" w:hAnsi="Times New Roman"/>
          <w:b w:val="false"/>
          <w:i w:val="false"/>
          <w:color w:val="000000"/>
          <w:sz w:val="21"/>
        </w:rPr>
        <w:t>[Filed 2/14/02, Notice 1/9/02—published 3/6/02, effective 5/1/02]</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5/16/03, Notice 4/2/03—published 6/11/03, effective 7/16/03]</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5/16/07, Notice 2/14/07—published 6/6/07, effective 8/1/07]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ARC 7547B</w:t>
      </w:r>
      <w:r>
        <w:rPr>
          <w:rFonts w:ascii="Times New Roman" w:hAnsi="Times New Roman"/>
          <w:b w:val="false"/>
          <w:i w:val="false"/>
          <w:color w:val="000000"/>
          <w:sz w:val="21"/>
        </w:rPr>
        <w:t xml:space="preserve"> (Notice ARC 7355B, IAB 11/19/08)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Emergency ARC 9724B, IAB 9/7/11, effective 9/1/11]</w:t>
      </w:r>
    </w:p>
    <w:p>
      <w:pPr>
        <w:spacing w:before="0" w:after="0"/>
        <w:ind w:left="120"/>
        <w:jc w:val="center"/>
      </w:pPr>
      <w:r>
        <w:rPr>
          <w:rFonts w:ascii="Times New Roman" w:hAnsi="Times New Roman"/>
          <w:b w:val="false"/>
          <w:i w:val="false"/>
          <w:color w:val="000000"/>
          <w:sz w:val="21"/>
        </w:rPr>
        <w:t>[Filed ARC 9889B</w:t>
      </w:r>
      <w:r>
        <w:rPr>
          <w:rFonts w:ascii="Times New Roman" w:hAnsi="Times New Roman"/>
          <w:b w:val="false"/>
          <w:i w:val="false"/>
          <w:color w:val="000000"/>
          <w:sz w:val="21"/>
        </w:rPr>
        <w:t xml:space="preserve"> (Notice ARC 9725B,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Emergency After Notice ARC 1070C</w:t>
      </w:r>
      <w:r>
        <w:rPr>
          <w:rFonts w:ascii="Times New Roman" w:hAnsi="Times New Roman"/>
          <w:b w:val="false"/>
          <w:i w:val="false"/>
          <w:color w:val="000000"/>
          <w:sz w:val="21"/>
        </w:rPr>
        <w:t xml:space="preserve"> (Notice ARC 0909C, IAB 8/7/13)</w:t>
      </w:r>
      <w:r>
        <w:rPr>
          <w:rFonts w:ascii="Times New Roman" w:hAnsi="Times New Roman"/>
          <w:b w:val="false"/>
          <w:i w:val="false"/>
          <w:color w:val="000000"/>
          <w:sz w:val="21"/>
        </w:rPr>
        <w:t>, IAB 10/2/13, effective 10/1/13]</w:t>
      </w:r>
    </w:p>
    <w:p>
      <w:pPr>
        <w:spacing w:before="0" w:after="0"/>
        <w:ind w:left="120"/>
        <w:jc w:val="center"/>
      </w:pPr>
      <w:r>
        <w:rPr>
          <w:rFonts w:ascii="Times New Roman" w:hAnsi="Times New Roman"/>
          <w:b w:val="false"/>
          <w:i w:val="false"/>
          <w:color w:val="000000"/>
          <w:sz w:val="21"/>
        </w:rPr>
        <w:t>[Filed ARC 1155C</w:t>
      </w:r>
      <w:r>
        <w:rPr>
          <w:rFonts w:ascii="Times New Roman" w:hAnsi="Times New Roman"/>
          <w:b w:val="false"/>
          <w:i w:val="false"/>
          <w:color w:val="000000"/>
          <w:sz w:val="21"/>
        </w:rPr>
        <w:t xml:space="preserve"> (Notice ARC 0912C,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2165C</w:t>
      </w:r>
      <w:r>
        <w:rPr>
          <w:rFonts w:ascii="Times New Roman" w:hAnsi="Times New Roman"/>
          <w:b w:val="false"/>
          <w:i w:val="false"/>
          <w:color w:val="000000"/>
          <w:sz w:val="21"/>
        </w:rPr>
        <w:t xml:space="preserve"> (Notice ARC 2061C, IAB 7/22/15)</w:t>
      </w:r>
      <w:r>
        <w:rPr>
          <w:rFonts w:ascii="Times New Roman" w:hAnsi="Times New Roman"/>
          <w:b w:val="false"/>
          <w:i w:val="false"/>
          <w:color w:val="000000"/>
          <w:sz w:val="21"/>
        </w:rPr>
        <w:t>, IAB 9/30/15, effective 12/1/15]</w:t>
      </w:r>
    </w:p>
    <w:p>
      <w:pPr>
        <w:spacing w:before="0" w:after="0"/>
        <w:ind w:left="120"/>
        <w:jc w:val="center"/>
      </w:pPr>
      <w:r>
        <w:rPr>
          <w:rFonts w:ascii="Times New Roman" w:hAnsi="Times New Roman"/>
          <w:b w:val="false"/>
          <w:i w:val="false"/>
          <w:color w:val="000000"/>
          <w:sz w:val="21"/>
        </w:rPr>
        <w:t>[Filed Emergency ARC 3159C, IAB 7/5/17, effective 7/1/17]</w:t>
      </w:r>
    </w:p>
    <w:p>
      <w:pPr>
        <w:spacing w:before="0" w:after="0"/>
        <w:ind w:left="120"/>
        <w:jc w:val="center"/>
      </w:pPr>
      <w:r>
        <w:rPr>
          <w:rFonts w:ascii="Times New Roman" w:hAnsi="Times New Roman"/>
          <w:b w:val="false"/>
          <w:i w:val="false"/>
          <w:color w:val="000000"/>
          <w:sz w:val="21"/>
        </w:rPr>
        <w:t>[Filed ARC 3296C</w:t>
      </w:r>
      <w:r>
        <w:rPr>
          <w:rFonts w:ascii="Times New Roman" w:hAnsi="Times New Roman"/>
          <w:b w:val="false"/>
          <w:i w:val="false"/>
          <w:color w:val="000000"/>
          <w:sz w:val="21"/>
        </w:rPr>
        <w:t xml:space="preserve"> (Notice ARC 3163C,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4751C</w:t>
      </w:r>
      <w:r>
        <w:rPr>
          <w:rFonts w:ascii="Times New Roman" w:hAnsi="Times New Roman"/>
          <w:b w:val="false"/>
          <w:i w:val="false"/>
          <w:color w:val="000000"/>
          <w:sz w:val="21"/>
        </w:rPr>
        <w:t xml:space="preserve"> (Notice ARC 4600C,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5248C</w:t>
      </w:r>
      <w:r>
        <w:rPr>
          <w:rFonts w:ascii="Times New Roman" w:hAnsi="Times New Roman"/>
          <w:b w:val="false"/>
          <w:i w:val="false"/>
          <w:color w:val="000000"/>
          <w:sz w:val="21"/>
        </w:rPr>
        <w:t xml:space="preserve"> (Notice ARC 5131C, IAB 8/12/20)</w:t>
      </w:r>
      <w:r>
        <w:rPr>
          <w:rFonts w:ascii="Times New Roman" w:hAnsi="Times New Roman"/>
          <w:b w:val="false"/>
          <w:i w:val="false"/>
          <w:color w:val="000000"/>
          <w:sz w:val="21"/>
        </w:rPr>
        <w:t>, IAB 11/4/20, effective 1/1/21]</w:t>
      </w:r>
    </w:p>
    <w:p>
      <w:pPr>
        <w:spacing w:before="0" w:after="0"/>
        <w:ind w:left="120"/>
        <w:jc w:val="center"/>
      </w:pPr>
      <w:r>
        <w:rPr>
          <w:rFonts w:ascii="Times New Roman" w:hAnsi="Times New Roman"/>
          <w:b w:val="false"/>
          <w:i w:val="false"/>
          <w:color w:val="000000"/>
          <w:sz w:val="21"/>
        </w:rPr>
        <w:t>[Filed ARC 6022C</w:t>
      </w:r>
      <w:r>
        <w:rPr>
          <w:rFonts w:ascii="Times New Roman" w:hAnsi="Times New Roman"/>
          <w:b w:val="false"/>
          <w:i w:val="false"/>
          <w:color w:val="000000"/>
          <w:sz w:val="21"/>
        </w:rPr>
        <w:t xml:space="preserve"> (Notice ARC 5904C, IAB 9/8/21)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ARC 6851C</w:t>
      </w:r>
      <w:r>
        <w:rPr>
          <w:rFonts w:ascii="Times New Roman" w:hAnsi="Times New Roman"/>
          <w:b w:val="false"/>
          <w:i w:val="false"/>
          <w:color w:val="000000"/>
          <w:sz w:val="21"/>
        </w:rPr>
        <w:t xml:space="preserve"> (Notice ARC 6641C, IAB 11/16/22)</w:t>
      </w:r>
      <w:r>
        <w:rPr>
          <w:rFonts w:ascii="Times New Roman" w:hAnsi="Times New Roman"/>
          <w:b w:val="false"/>
          <w:i w:val="false"/>
          <w:color w:val="000000"/>
          <w:sz w:val="21"/>
        </w:rPr>
        <w:t>, IAB 2/8/23, effective 4/1/23]</w:t>
      </w:r>
    </w:p>
    <w:p>
      <w:pPr>
        <w:spacing w:before="0" w:after="0"/>
        <w:ind w:left="120"/>
        <w:jc w:val="center"/>
      </w:pPr>
      <w:r>
        <w:rPr>
          <w:rFonts w:ascii="Times New Roman" w:hAnsi="Times New Roman"/>
          <w:b w:val="false"/>
          <w:i w:val="false"/>
          <w:color w:val="000000"/>
          <w:sz w:val="21"/>
        </w:rPr>
        <w:t>[Filed ARC 0317D</w:t>
      </w:r>
      <w:r>
        <w:rPr>
          <w:rFonts w:ascii="Times New Roman" w:hAnsi="Times New Roman"/>
          <w:b w:val="false"/>
          <w:i w:val="false"/>
          <w:color w:val="000000"/>
          <w:sz w:val="21"/>
        </w:rPr>
        <w:t xml:space="preserve"> (Notice ARC 9851C, IAB 12/24/25)</w:t>
      </w:r>
      <w:r>
        <w:rPr>
          <w:rFonts w:ascii="Times New Roman" w:hAnsi="Times New Roman"/>
          <w:b w:val="false"/>
          <w:i w:val="false"/>
          <w:color w:val="000000"/>
          <w:sz w:val="21"/>
        </w:rPr>
        <w:t>, IAB 5/27/26, effective 7/1/26]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pdf" Type="http://schemas.openxmlformats.org/officeDocument/2006/relationships/hyperlink" Id="rId5"/>
    <Relationship TargetMode="External" Target="https://www.legis.iowa.gov/docs/iac/chapter/441.76.pdf" Type="http://schemas.openxmlformats.org/officeDocument/2006/relationships/hyperlink" Id="rId6"/>
    <Relationship TargetMode="External" Target="https://www.legis.iowa.gov/docs/iac/chapter/441.75.pdf" Type="http://schemas.openxmlformats.org/officeDocument/2006/relationships/hyperlink" Id="rId7"/>
    <Relationship TargetMode="External" Target="https://www.legis.iowa.gov/docs/ico/chapter/249A.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