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AMOUNT, DURATION AND SCOPE OF MEDICAL AND REMEDIAL SERVICES</w:t>
      </w:r>
    </w:p>
    <w:p>
      <w:pPr>
        <w:spacing w:before="0" w:after="0"/>
        <w:ind w:left="120"/>
        <w:jc w:val="center"/>
      </w:pPr>
      <w:r>
        <w:rPr>
          <w:rFonts w:ascii="Times New Roman" w:hAnsi="Times New Roman"/>
          <w:b w:val="false"/>
          <w:i w:val="false"/>
          <w:color w:val="000000"/>
          <w:sz w:val="20"/>
        </w:rPr>
        <w:t>[Prior to 7/1/83, Social Services[770] Ch 78]</w:t>
      </w:r>
    </w:p>
    <w:p>
      <w:pPr>
        <w:spacing w:before="0" w:after="0"/>
        <w:ind w:left="120"/>
        <w:jc w:val="center"/>
      </w:pPr>
      <w:r>
        <w:rPr>
          <w:rFonts w:ascii="Times New Roman" w:hAnsi="Times New Roman"/>
          <w:b w:val="false"/>
          <w:i w:val="false"/>
          <w:color w:val="000000"/>
          <w:sz w:val="20"/>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441—78.1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services. </w:t>
      </w:r>
      <w:r>
        <w:rPr>
          <w:rFonts w:ascii="Times New Roman" w:hAnsi="Times New Roman"/>
          <w:b w:val="false"/>
          <w:i w:val="false"/>
          <w:color w:val="000000"/>
          <w:sz w:val="22"/>
        </w:rPr>
        <w:t>Payment will be approved for all medically necessary services and supplies provided by the physician, including services rendered in the physician’s office or clinic, the home, in a hospital, nursing home or elsewhere.</w:t>
      </w:r>
    </w:p>
    <w:p>
      <w:pPr>
        <w:spacing w:before="0" w:after="0"/>
        <w:ind w:left="120"/>
        <w:jc w:val="both"/>
      </w:pPr>
      <w:r>
        <w:rPr>
          <w:rFonts w:ascii="Times New Roman" w:hAnsi="Times New Roman"/>
          <w:b w:val="false"/>
          <w:i w:val="false"/>
          <w:color w:val="000000"/>
          <w:sz w:val="22"/>
        </w:rPr>
        <w:t>Payment will be made for all services rendered by a doctor of medicine or osteopathy within the scope of this practice and the limitations of state law subject to the following limitations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w:t>
      </w:r>
      <w:r>
        <w:rPr>
          <w:rFonts w:ascii="Times New Roman" w:hAnsi="Times New Roman"/>
          <w:b w:val="false"/>
          <w:i w:val="false"/>
          <w:color w:val="000000"/>
          <w:sz w:val="22"/>
        </w:rPr>
        <w:t> </w:t>
      </w:r>
      <w:r>
        <w:rPr>
          <w:rFonts w:ascii="Times New Roman" w:hAnsi="Times New Roman"/>
          <w:b w:val="false"/>
          <w:i w:val="false"/>
          <w:color w:val="000000"/>
          <w:sz w:val="22"/>
        </w:rPr>
        <w:t>Payment will not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by a physician or other legally qualified practitioner (dentist, podiatrist, optometrist, physician associate (PA), or advanced registered nurse practitioner (ARNP)) unless it is established that there is no licensed retail pharmacy in the community in which the legally qualified practitioner’s office is maintained. Rate of payment shall be established as in subrule </w:t>
      </w:r>
      <w:hyperlink r:id="rId5">
        <w:r>
          <w:rPr>
            <w:rStyle w:val="Hyperlink"/>
            <w:rFonts w:ascii="Times New Roman" w:hAnsi="Times New Roman"/>
            <w:b w:val="false"/>
            <w:i w:val="false"/>
            <w:color w:val="000000"/>
            <w:sz w:val="22"/>
          </w:rPr>
          <w:t>78.2(2)</w:t>
        </w:r>
      </w:hyperlink>
      <w:r>
        <w:rPr>
          <w:rFonts w:ascii="Times New Roman" w:hAnsi="Times New Roman"/>
          <w:b w:val="false"/>
          <w:i w:val="false"/>
          <w:color w:val="000000"/>
          <w:sz w:val="22"/>
        </w:rPr>
        <w:t>, but no professional fee shall be paid. Payment will not be made for biological supplies and drugs provided free of charge to practitioners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certain foot conditions as specified in paragraphs </w:t>
      </w:r>
      <w:hyperlink r:id="rId6">
        <w:r>
          <w:rPr>
            <w:rStyle w:val="Hyperlink"/>
            <w:rFonts w:ascii="Times New Roman" w:hAnsi="Times New Roman"/>
            <w:b w:val="false"/>
            <w:i w:val="false"/>
            <w:color w:val="000000"/>
            <w:sz w:val="22"/>
          </w:rPr>
          <w:t>78.15(3)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Acupuncture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Unproven or experimental medical and surgical procedures. The criteria in effect in the Medicare program will be utilized in determining when a given procedure is unproven or experimental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Charges for surgical procedures on the “Outpatient/Same Day Surgery List” produced by Iowa Medicaid  or associated inpatient care charges when the procedure is performed in a hospital on an inpatient basis unless the physician has secured approval from the hospital’s utilization review department prior to the patient’s admission to the hospital. Approval will be granted only when inpatient care is deemed to be medically necessary based on the condition of the patient or when the surgical procedure is not performed as a routine, primary, independent procedure. The “Outpatient/Same Day Surgery List” will be published by the department in the provider manuals for hospitals and physicians as amended to July 1, 2026. The “Outpatient/Same Day Surgery List” will be developed by Iowa Medicaid and will include procedures that can safely and effectively be performed in a doctor’s office or on an outpatient basis in a hospital. Iowa Medicaid may add, delete, or modify entries on the “Outpatient/Same Day Surgery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Elective, non-medically necessary cesarean section (C-section) deliveries.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covered when prescribed by a legally qualified practitioner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are covered as provided by rule </w:t>
      </w:r>
      <w:hyperlink r:id="rId7">
        <w:r>
          <w:rPr>
            <w:rStyle w:val="Hyperlink"/>
            <w:rFonts w:ascii="Times New Roman" w:hAnsi="Times New Roman"/>
            <w:b w:val="false"/>
            <w:i w:val="false"/>
            <w:color w:val="000000"/>
            <w:sz w:val="22"/>
          </w:rPr>
          <w:t>441—78.2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supplies are payable when ordered by a legally qualified practitioner for a specific rather than incidental use, subject to the conditions specified in rule </w:t>
      </w:r>
      <w:hyperlink r:id="rId8">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When a member is receiving care in a nursing facility or residential care facility, payment will be approved only for the following supplies when prescribed by a legally qualified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Indwelling Foley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records are required for all drugs as specified in Iowa Code sections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For the purposes of the medical assistance program, prescriptions for medical supplies are required and will be subject to the same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are not included, payment will be made based on the customary dosage. The following exclusions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injections when they are considered by standards of medical practice not to be specific or effective treatment for the particular condition for which they are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an injection when administered for a reason other than the treatment of a particular condition,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injection is not an indicated method of administration according to accepted standards of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Allergenic extract materials provided the patient for self-administration shall not exceed a 90-day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an injection is determined to fall outside of what is medically reasonable or necessary based on basic standards of medical practice for the required level of care for a particular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vaccines available through the VFC program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injections of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any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program, cosmetic, reconstructive, or plastic surgery is surgery that can be expected primarily to improve physical appearance or that is performed primarily for psychological purposes or that restores form but that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 of a congenital anomaly;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Restoration of body form following an accidental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Revision of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performed in connection with certain conditions is specifically excluded. These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Dental congenital anomalies, such as absent tooth buds, malocclusion, and similar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related to transsexualism, hermaphroditism, gender identity disorders, or body dysmorphic disorders. This subparagraph is intended to implement Iowa Code section </w:t>
      </w:r>
      <w:hyperlink r:id="rId11">
        <w:r>
          <w:rPr>
            <w:rStyle w:val="Hyperlink"/>
            <w:rFonts w:ascii="Times New Roman" w:hAnsi="Times New Roman"/>
            <w:b w:val="false"/>
            <w:i w:val="false"/>
            <w:color w:val="000000"/>
            <w:sz w:val="22"/>
          </w:rPr>
          <w:t>249A.14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procedures performed primarily for psychological reasons or as a result of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Breast augmentation mammoplasty, surgical insertion of prosthetic testicles, penile implant procedures, and surgeries for the purpose of 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cosmetic, reconstructive, or plastic surgery procedure does not qualify for coverage under the program, all related services and supplies, including any institutional costs,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is a partial list of cosmetic, reconstructive, or plastic surgery procedures that are not covered under the program. This list is for example purposes only and is not considered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procedure performed for personal reasons to improve the appearance of an obvious feature or part of the body that would be considered by an average observer to be normal and acceptable for the patient’s age or ethnic or racial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surgical procedures that are justified primarily on the basis of a psychological or psychiatric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Augmentation mammoplasties.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Facelifts and other procedures related to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Reduction mammoplasties, unless there is medical documentation of intractable pain not amenable to other forms of treatment as the result of increasingly large pendulous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Panniculectomy and body sculpture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Repair of sagging eyelids unless there is demonstrated and medically documented significant impairment of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Rhinoplasties unless there is evidence of accidental injury occurring within the past six months that resulted in significant obstruction of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Chemical peeling for facial wrinkles.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Dermabrasion of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Revision of scars resulting from surgery or a disease process, except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Removal of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Hair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Electrolysis.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Penile implant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Insertion of prosthetic testicles.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will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2">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the examination to establish the need for orthopedic shoes in accordance with rule </w:t>
      </w:r>
      <w:hyperlink r:id="rId13">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78.1(7)</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the services of a private duty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w:t>
      </w:r>
      <w:r>
        <w:rPr>
          <w:rFonts w:ascii="Times New Roman" w:hAnsi="Times New Roman"/>
          <w:b w:val="false"/>
          <w:i w:val="false"/>
          <w:color w:val="000000"/>
          <w:sz w:val="22"/>
        </w:rPr>
        <w:t> </w:t>
      </w:r>
      <w:r>
        <w:rPr>
          <w:rFonts w:ascii="Times New Roman" w:hAnsi="Times New Roman"/>
          <w:b w:val="false"/>
          <w:i w:val="false"/>
          <w:color w:val="000000"/>
          <w:sz w:val="22"/>
        </w:rPr>
        <w:t>Payment for mileage will be the same as that in effect in part B of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visits to patients in nursing facilities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only one visit to the same patient in a calendar month. Payment for further visits will be made only when the need for the visits is adequately documented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one patient is seen in a single visit, the allowance will be based on a follow-up home visit. When more than one patient is seen in a single visit, payment will be based on a follow-up office visit. In the absence of information on the claim, the carrier will assume that more than one patient was seen, and payment approved on that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mileage in connection with nursing home visits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physician to travel outside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not physicians in the community in which the nursing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tasks related to a resident receiving nursing facility care that are performed by a nurse practitioner or PA as specified in </w:t>
      </w:r>
      <w:r>
        <w:rPr>
          <w:rFonts w:ascii="Times New Roman" w:hAnsi="Times New Roman"/>
          <w:b w:val="false"/>
          <w:i w:val="false"/>
          <w:color w:val="000000"/>
          <w:sz w:val="22"/>
        </w:rPr>
        <w:t>42 CFR 483.30(f)</w:t>
      </w:r>
      <w:r>
        <w:rPr>
          <w:rFonts w:ascii="Times New Roman" w:hAnsi="Times New Roman"/>
          <w:b w:val="false"/>
          <w:i w:val="false"/>
          <w:color w:val="000000"/>
          <w:sz w:val="22"/>
        </w:rPr>
        <w:t xml:space="preserve"> as amended to July 1, 2026. On-site supervision of the physician is not required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78.1(10)</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in independent laboratory when it has been certified as eligible to participate in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Auxiliary personnel are nurses, psychologists, social workers, audiologists, occupational therapists and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auxiliary person is considered to be an employee of the physician if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able to control the manner in which the work is performed, i.e., is able to control when, where and how the work is done. This control need not be actually exercised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work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Withholds taxes from the wages of the auxiliary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in the office setting means the physician must be present in the same office suite, not necessarily the same room, and be available to provide immediate assistance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outside the office setting, such as the member’s home, hospital, emergency room, or nursing facility, means the physician must be present in the same room as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ARNPs certified under board of nursing rules in </w:t>
      </w:r>
      <w:hyperlink r:id="rId14">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ARNPs who prescribe drugs and medical devices are subject to the guidelines in effect for physicians as specified in rule </w:t>
      </w:r>
      <w:hyperlink r:id="rId15">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PA licensed under board of PAs’ professional licensure rules in 481—Chapters </w:t>
      </w:r>
      <w:hyperlink r:id="rId16">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is exempt from the direct personal supervision requirement, except as expressly required by Iowa Code chapter </w:t>
      </w:r>
      <w:hyperlink r:id="rId1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481—Chapters </w:t>
      </w:r>
      <w:hyperlink r:id="rId19">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20">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A physician shall be accessible at all times for consultation with a PA unless the PA is providing emergency medical services pursuant to </w:t>
      </w:r>
      <w:hyperlink r:id="rId21">
        <w:r>
          <w:rPr>
            <w:rStyle w:val="Hyperlink"/>
            <w:rFonts w:ascii="Times New Roman" w:hAnsi="Times New Roman"/>
            <w:b w:val="false"/>
            <w:i w:val="false"/>
            <w:color w:val="000000"/>
            <w:sz w:val="22"/>
          </w:rPr>
          <w:t>481—subrule 781.1(3)</w:t>
        </w:r>
      </w:hyperlink>
      <w:r>
        <w:rPr>
          <w:rFonts w:ascii="Times New Roman" w:hAnsi="Times New Roman"/>
          <w:b w:val="false"/>
          <w:i w:val="false"/>
          <w:color w:val="000000"/>
          <w:sz w:val="22"/>
        </w:rPr>
        <w:t xml:space="preserve">. PAs who prescribe drugs and medical devices are subject to the guidelines in effect for physicians as specified in rule </w:t>
      </w:r>
      <w:hyperlink r:id="rId22">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required by rules in 481—Chapters </w:t>
      </w:r>
      <w:hyperlink r:id="rId23">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PAs who prescribe drugs and medical devices are subject to the guidelines in effect for physicians as specified in rule </w:t>
      </w:r>
      <w:hyperlink r:id="rId25">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Special Supplemental Nutrition Program for Women, Infants, and Children (WIC),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The certification of inpatient hospital care will be the same as that in effect in part A of Medicare. The hospital admittance record is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78.1(16)</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pertinent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Sterilization means any medical procedure, treatment, or operation performed for the purpose of rendering an individual permanently incapable of reproducing and that is not a necessary part of the treatment of an existing illness or medically indicated as an accompaniment of an operation on the genital urinary tract. Mental illness is not considered an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Hysterectomy means a medical procedure or operation to remove the uterus.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Mentally incompetent individual means a person who has been declared mentally incompetent by a federal, state or local court of jurisdiction for any purpose unless the individual has been declared competent for purposes that include the ability to consent to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sterilization shall be performed as the result of a voluntary request for the services made by the person on whom the sterilization is performed. The person’s consent for sterilization shall be documented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department consent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sterilization consent form from another state’s Medicaid program that contains all information found on the department form and complies with all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shall be informed that the consent can be withheld or withdrawn any time prior to the sterilization without prejudicing future care and without loss of other project 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shall be given a complete explanation of the sterilization. The explanation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alternative methods and the effect and impact of the proposed sterilization including the fact that it must be considered to be an irreversible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thorough description of the specific sterilization procedure to be performed and benefits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attendant discomforts and risks including the type and possible effects of any anesthetic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offer to answer any inquiries the person to be sterilized may have concerning the procedure to be performed. The individual shall be provided a copy of the informed consent form in addition to the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30 days and not more than 180 days shall have elapsed following the signing of the informed consent, except in the case of premature delivery or emergency abdominal surgery that occurs not less than 72 hours after the informed consent was signed. The informed consent shall have been signed at least 30 days before the expected delivery date for premature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in paragraphs </w:t>
      </w:r>
      <w:hyperlink r:id="rId26">
        <w:r>
          <w:rPr>
            <w:rStyle w:val="Hyperlink"/>
            <w:rFonts w:ascii="Times New Roman" w:hAnsi="Times New Roman"/>
            <w:b w:val="false"/>
            <w:i w:val="false"/>
            <w:color w:val="000000"/>
            <w:sz w:val="22"/>
          </w:rPr>
          <w:t>78.1(16)</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consent form described in paragraph </w:t>
      </w:r>
      <w:hyperlink r:id="rId27">
        <w:r>
          <w:rPr>
            <w:rStyle w:val="Hyperlink"/>
            <w:rFonts w:ascii="Times New Roman" w:hAnsi="Times New Roman"/>
            <w:b w:val="false"/>
            <w:i w:val="false"/>
            <w:color w:val="000000"/>
            <w:sz w:val="22"/>
          </w:rPr>
          <w:t>78.1(16)</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attached to the claim for payment and shall be signed by all parties required by the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Informed consent shall not be obtained while the individual to be sterilized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labor or childbirth,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Seeking to obtain or obtaining an abortion,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the influence of alcohol or other substance that affects the individual’s state of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medically necessary hysterectomy only when it is performed for a purpose other than sterilization and only when one or more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or representative has signed an acknowledgment of having been informed orally and in writing from the person authorized to perform the hysterectomy that the hysterectomy will make the individual permanently incapable of reproducing,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was already sterile before the hysterectomy, the physician has certified in writing that the individual was already sterile at the time of the hysterectomy, and the physician has stated the cause of the sterility,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78.1(17)</w:t>
      </w:r>
      <w:r>
        <w:rPr>
          <w:rFonts w:ascii="Times New Roman" w:hAnsi="Times New Roman"/>
          <w:b w:val="false"/>
          <w:i w:val="false"/>
          <w:color w:val="000000"/>
          <w:sz w:val="22"/>
        </w:rPr>
        <w:t> </w:t>
      </w:r>
      <w:r>
        <w:rPr>
          <w:rFonts w:ascii="Times New Roman" w:hAnsi="Times New Roman"/>
          <w:b w:val="false"/>
          <w:i w:val="false"/>
          <w:color w:val="000000"/>
          <w:sz w:val="22"/>
        </w:rPr>
        <w:t>Abortions. Payment for an abortion or related service is made when a Certification Regarding Abortion form is completed for the applicable circumstances and is attached to each claim for services. Payment for an abortion is made under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woman’s life would be endangered if the fetus were carried to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fetus is physically deformed, mentally deficient or afflicted with a congenital illness and the physician states the medical indication for determining the fetal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The Certification Regarding Abortion form shall be signed by the person receiving the report of the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The Certification Regarding Abortion form shall be signed by the person receiving the report of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and procedure for obtaining eyeglasses, contact lenses, and visual aids shall be the same as described in rule </w:t>
      </w:r>
      <w:hyperlink r:id="rId28">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78.1(19)</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the criteria established by Iowa Medicaid. If not so approved by Iowa Medicaid, payment will not be made under the program to the physician or to the facility in which the surgery is performed. The criteria are available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78.1(20)</w:t>
      </w:r>
      <w:r>
        <w:rPr>
          <w:rFonts w:ascii="Times New Roman" w:hAnsi="Times New Roman"/>
          <w:b w:val="false"/>
          <w:i w:val="false"/>
          <w:color w:val="000000"/>
          <w:sz w:val="22"/>
        </w:rPr>
        <w:t> </w:t>
      </w:r>
      <w:r>
        <w:rPr>
          <w:rFonts w:ascii="Times New Roman" w:hAnsi="Times New Roman"/>
          <w:b w:val="false"/>
          <w:i w:val="false"/>
          <w:color w:val="000000"/>
          <w:sz w:val="22"/>
        </w:rPr>
        <w:t>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the following organ and tissue transplant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Kidney, cornea, skin, and bone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Liver transplants for persons with extrahepatic biliary atresia or any other form of end-stage liver disease, except that coverage is not provided for persons with a malignancy extending beyond the margins of the liver.</w:t>
      </w:r>
    </w:p>
    <w:p>
      <w:pPr>
        <w:spacing w:before="0" w:after="0"/>
        <w:ind w:left="120"/>
        <w:jc w:val="both"/>
      </w:pPr>
      <w:r>
        <w:rPr>
          <w:rFonts w:ascii="Times New Roman" w:hAnsi="Times New Roman"/>
          <w:b w:val="false"/>
          <w:i w:val="false"/>
          <w:color w:val="000000"/>
          <w:sz w:val="22"/>
        </w:rPr>
        <w:t xml:space="preserve">Liver transplants require preprocedure review by Iowa Medicaid. Covered liver transplants are payable only when performed in a facility that meets the requirements of subrule </w:t>
      </w:r>
      <w:hyperlink r:id="rId29">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ind w:left="120"/>
        <w:jc w:val="both"/>
      </w:pPr>
      <w:r>
        <w:rPr>
          <w:rFonts w:ascii="Times New Roman" w:hAnsi="Times New Roman"/>
          <w:b w:val="false"/>
          <w:i w:val="false"/>
          <w:color w:val="000000"/>
          <w:sz w:val="22"/>
        </w:rPr>
        <w:t xml:space="preserve">Heart transplants, heart-lung transplants, artificial hearts, and ventricular assist devices described above require preprocedure review by Iowa Medicaid. Covered heart transplants are payable only when performed in a facility that meets the requirements of subrule </w:t>
      </w:r>
      <w:hyperlink r:id="rId30">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Lung transplants. Lung transplants for persons having end-stage pulmonary disease. Lung transplants require preprocedure review by Iowa Medicaid. Covered transplants are payable only when performed in a facility that meets the requirements of subrule </w:t>
      </w:r>
      <w:hyperlink r:id="rId31">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 xml:space="preserve">. Heart-lung transplants are covered consistent with criteria in subparagraph </w:t>
      </w:r>
      <w:hyperlink r:id="rId32">
        <w:r>
          <w:rPr>
            <w:rStyle w:val="Hyperlink"/>
            <w:rFonts w:ascii="Times New Roman" w:hAnsi="Times New Roman"/>
            <w:b w:val="false"/>
            <w:i w:val="false"/>
            <w:color w:val="000000"/>
            <w:sz w:val="22"/>
          </w:rPr>
          <w:t>78.1(2)</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Pancreas transplants for persons with type I diabetes mellitus,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Simultaneous pancreas-kidney transplants and pancreas after kidney transplants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Pancreas transplants alone are covered for persons exhibiting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history of frequent, acute, and severe metabolic complications (e.g., hypoglycemia, hyperglycemia, or ketoacidosis) requiring medical attention.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Clinical problems with exogenous insulin therapy that are so severe as to be incapacitating.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Consistent failure of insulin-based management to prevent acute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pancreas transplants listed under this subparagraph require preprocedure review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transplants are payable only when performed in a facility that meets the requirements of subrule </w:t>
      </w:r>
      <w:hyperlink r:id="rId33">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Transplantation of islet cells or partial pancreatic tissue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transplants must be medically necessary and meet other general requirements of this chapter for physician and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made for any transplant not specifically listed in paragraph </w:t>
      </w:r>
      <w:hyperlink r:id="rId34">
        <w:r>
          <w:rPr>
            <w:rStyle w:val="Hyperlink"/>
            <w:rFonts w:ascii="Times New Roman" w:hAnsi="Times New Roman"/>
            <w:b w:val="false"/>
            <w:i w:val="false"/>
            <w:color w:val="000000"/>
            <w:sz w:val="22"/>
          </w:rPr>
          <w:t>78.1(20)</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val="false"/>
          <w:color w:val="000000"/>
          <w:sz w:val="22"/>
        </w:rPr>
        <w:t>Utilization review. Utilization review will be conducted for Medicaid members who access more than 24 outpatient visits in any 12-month period from physicians, ARNPs, federally qualified health centers, other clinics, and emergency rooms. For the purposes of utilization review, the term “physician” does not include a psychiatrist.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val="false"/>
          <w:color w:val="000000"/>
          <w:sz w:val="22"/>
        </w:rPr>
        <w:t>Risk assessment. Risk assessment, using the Medicaid Prenatal Risk Assessment form, will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will be made for enhanced services. Enhanced services include health education, social services, nutrition education, and a postpartum home visit. Additional reimbursement will be provided for obstetrical services related to a high-risk pregnancy. (See description of enhanced services at subrule </w:t>
      </w:r>
      <w:hyperlink r:id="rId3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val="false"/>
          <w:color w:val="000000"/>
          <w:sz w:val="22"/>
        </w:rPr>
        <w:t>Topical fluoride varnish. Payment will be made for application of an FDA-approved topical fluoride varnish, as defined by the Code on Dental Procedures and Nomenclature (CDT) published by the American Dental Association as amended to July 1, 2026,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topical fluoride varnish must be provided in conjunction with an early and periodic screening, diagnosis, and treatment (EPSDT) examination which includes a limited oral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Separate payment will be available only for application of topical fluoride varnish, which will be at the same rate of reimbursement paid to dentists for providing this service. Separate payment for the limited oral screening will not be available, as this service is already part of and paid under the EPSDT screening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rendering the services under this subrule shall make every reasonable effort to refer or facilitate referral of these children for comprehensive dental care rendered by a dental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will be governed pursuant to subrule </w:t>
      </w:r>
      <w:hyperlink r:id="rId36">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w:t>
      </w:r>
      <w:r>
        <w:rPr>
          <w:rFonts w:ascii="Times New Roman" w:hAnsi="Times New Roman"/>
          <w:b/>
          <w:i w:val="false"/>
          <w:color w:val="000000"/>
          <w:sz w:val="22"/>
        </w:rPr>
        <w:t xml:space="preserve">(249A) </w:t>
      </w:r>
      <w:r>
        <w:rPr>
          <w:rFonts w:ascii="Times New Roman" w:hAnsi="Times New Roman"/>
          <w:b/>
          <w:i w:val="false"/>
          <w:color w:val="000000"/>
          <w:sz w:val="22"/>
        </w:rPr>
        <w:t xml:space="preserve">Prescribed outpatient drugs. </w:t>
      </w:r>
      <w:r>
        <w:rPr>
          <w:rFonts w:ascii="Times New Roman" w:hAnsi="Times New Roman"/>
          <w:b w:val="false"/>
          <w:i w:val="false"/>
          <w:color w:val="000000"/>
          <w:sz w:val="22"/>
        </w:rPr>
        <w:t xml:space="preserve">Payment will be made for “covered outpatient drugs”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1396r-8(k)(2)-(4) as amended to July 1, 2026, subject to the conditions and limitations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w:t>
      </w:r>
      <w:r>
        <w:rPr>
          <w:rFonts w:ascii="Times New Roman" w:hAnsi="Times New Roman"/>
          <w:b w:val="false"/>
          <w:i w:val="false"/>
          <w:color w:val="000000"/>
          <w:sz w:val="22"/>
        </w:rPr>
        <w:t> </w:t>
      </w:r>
      <w:r>
        <w:rPr>
          <w:rFonts w:ascii="Times New Roman" w:hAnsi="Times New Roman"/>
          <w:b w:val="false"/>
          <w:i/>
          <w:color w:val="000000"/>
          <w:sz w:val="22"/>
        </w:rPr>
        <w:t xml:space="preserve">Qualified prescriber. </w:t>
      </w:r>
      <w:r>
        <w:rPr>
          <w:rFonts w:ascii="Times New Roman" w:hAnsi="Times New Roman"/>
          <w:b w:val="false"/>
          <w:i w:val="false"/>
          <w:color w:val="000000"/>
          <w:sz w:val="22"/>
        </w:rPr>
        <w:t xml:space="preserve">All drugs are covered only if prescribed or ordered by an Iowa Medicaid-enrolled practitioner licensed or registered to prescribe as specified in Iowa Code section </w:t>
      </w:r>
      <w:hyperlink r:id="rId37">
        <w:r>
          <w:rPr>
            <w:rStyle w:val="Hyperlink"/>
            <w:rFonts w:ascii="Times New Roman" w:hAnsi="Times New Roman"/>
            <w:b w:val="false"/>
            <w:i w:val="false"/>
            <w:color w:val="000000"/>
            <w:sz w:val="22"/>
          </w:rPr>
          <w:t>155A.3(39)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w:t>
      </w:r>
      <w:r>
        <w:rPr>
          <w:rFonts w:ascii="Times New Roman" w:hAnsi="Times New Roman"/>
          <w:b w:val="false"/>
          <w:i w:val="false"/>
          <w:color w:val="000000"/>
          <w:sz w:val="22"/>
        </w:rPr>
        <w:t> </w:t>
      </w:r>
      <w:r>
        <w:rPr>
          <w:rFonts w:ascii="Times New Roman" w:hAnsi="Times New Roman"/>
          <w:b w:val="false"/>
          <w:i/>
          <w:color w:val="000000"/>
          <w:sz w:val="22"/>
        </w:rPr>
        <w:t xml:space="preserve">Prescription required. </w:t>
      </w:r>
      <w:r>
        <w:rPr>
          <w:rFonts w:ascii="Times New Roman" w:hAnsi="Times New Roman"/>
          <w:b w:val="false"/>
          <w:i w:val="false"/>
          <w:color w:val="000000"/>
          <w:sz w:val="22"/>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38">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by the practitioner to the pharmacy. All prescriptions or drug orders shall be available for audit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w:t>
      </w:r>
      <w:r>
        <w:rPr>
          <w:rFonts w:ascii="Times New Roman" w:hAnsi="Times New Roman"/>
          <w:b w:val="false"/>
          <w:i w:val="false"/>
          <w:color w:val="000000"/>
          <w:sz w:val="22"/>
        </w:rPr>
        <w:t> </w:t>
      </w:r>
      <w:r>
        <w:rPr>
          <w:rFonts w:ascii="Times New Roman" w:hAnsi="Times New Roman"/>
          <w:b w:val="false"/>
          <w:i/>
          <w:color w:val="000000"/>
          <w:sz w:val="22"/>
        </w:rPr>
        <w:t xml:space="preserve">Qualified source. </w:t>
      </w:r>
      <w:r>
        <w:rPr>
          <w:rFonts w:ascii="Times New Roman" w:hAnsi="Times New Roman"/>
          <w:b w:val="false"/>
          <w:i w:val="false"/>
          <w:color w:val="000000"/>
          <w:sz w:val="22"/>
        </w:rPr>
        <w:t>All drugs are covered only if marketed by manufacturers that have signed a Medicaid rebate agreement with the Secretary of Health and Human Services in accordance with Public Law 101-508 (Omnibus Budget Reconciliation Act of 1990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Drugs that may be dispensed only upon a prescription are covered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is required as specified in the preferred drug list published by the department pursuant to Iowa Code section </w:t>
      </w:r>
      <w:hyperlink r:id="rId41">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drug requiring prior authorization, reimbursement will be made for a 72-hour or three-day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on file with the department current contact information, including a current fax number, and a signed department Fax Confidentiality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receive a notice of approval or disapproval within 48 hours of a request for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will be governed pursuant to subrule </w:t>
      </w:r>
      <w:hyperlink r:id="rId42">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not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whose prescribed use is not for a medically accepted indication as defined by </w:t>
      </w:r>
      <w:r>
        <w:rPr>
          <w:rFonts w:ascii="Times New Roman" w:hAnsi="Times New Roman"/>
          <w:b w:val="false"/>
          <w:i w:val="false"/>
          <w:color w:val="000000"/>
          <w:sz w:val="22"/>
        </w:rPr>
        <w:t>Section 1927(k)(6)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used for anorexia, weight gain, or weight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used for cosmetic purposes or hair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Otherwise covered outpatient drugs if the manufacturer seeks to require as a condition of sale that associated tests or monitoring services be purchased exclusively from the manufacturer or the manufacturer’s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described in Section 107(c)(3) of the Drug Amendments of 1962 as amended to July 1, 2026, and identical, similar, or related drugs (within the meaning of Section 310.6(b)(1) of Title 21 of the Code of Federal Regulations as amended to July 1, 2026 (drugs identified through the Drug Efficacy Study Implementation (DESI)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any “Part D eligible individual”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 member who is not enrolled in a Medicare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Drugs prescribed for fertility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Drugs used for the treatment of sexual or erectile dysfunction, except when used to treat a condition other than sexual or erectile dysfunction for which the drug has been approved by the U.S.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2"/>
        </w:rPr>
        <w:t>Section 1903(i)(23)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1396b(i)(23)).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used for symptomatic relief of cough and colds, except for nonprescription drugs listed at subrule </w:t>
      </w:r>
      <w:hyperlink r:id="rId43">
        <w:r>
          <w:rPr>
            <w:rStyle w:val="Hyperlink"/>
            <w:rFonts w:ascii="Times New Roman" w:hAnsi="Times New Roman"/>
            <w:b w:val="false"/>
            <w:i w:val="false"/>
            <w:color w:val="000000"/>
            <w:sz w:val="22"/>
          </w:rPr>
          <w:t>78.2(5)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Investigational drugs, including drugs that are the subject of an investigational new drug (IND) application allowed to proceed by the FDA but that do not meet the definition of a covered outpatient drug in </w:t>
      </w:r>
      <w:r>
        <w:rPr>
          <w:rFonts w:ascii="Times New Roman" w:hAnsi="Times New Roman"/>
          <w:b w:val="false"/>
          <w:i w:val="false"/>
          <w:color w:val="000000"/>
          <w:sz w:val="22"/>
        </w:rPr>
        <w:t>42 U.S.C. 1396r</w:t>
      </w:r>
      <w:r>
        <w:rPr>
          <w:rFonts w:ascii="Times New Roman" w:hAnsi="Times New Roman"/>
          <w:b w:val="false"/>
          <w:i w:val="false"/>
          <w:color w:val="000000"/>
          <w:sz w:val="22"/>
        </w:rPr>
        <w:t>-8(k)(2)-(4)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w:t>
      </w:r>
      <w:r>
        <w:rPr>
          <w:rFonts w:ascii="Times New Roman" w:hAnsi="Times New Roman"/>
          <w:b w:val="false"/>
          <w:i w:val="false"/>
          <w:color w:val="000000"/>
          <w:sz w:val="22"/>
        </w:rPr>
        <w:t> </w:t>
      </w:r>
      <w:r>
        <w:rPr>
          <w:rFonts w:ascii="Times New Roman" w:hAnsi="Times New Roman"/>
          <w:b w:val="false"/>
          <w:i/>
          <w:color w:val="000000"/>
          <w:sz w:val="22"/>
        </w:rPr>
        <w:t xml:space="preserve">Nonprescription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Nonprescription or over-the-counter (OTC) refers to a drug that may be lawfully sold without a prescription; however, Iowa Medicaid requires a prescription for covered OTC drugs. These drugs are subject to prior authorization requirements as specified in the preferred drug list (PDL) published by the department pursuant to Iowa Code section </w:t>
      </w:r>
      <w:hyperlink r:id="rId4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The drugs are identified on the nonprescription (OTC) prescribed list by therapeutic category located on the PDL website (</w:t>
      </w:r>
      <w:hyperlink r:id="rId45">
        <w:r>
          <w:rPr>
            <w:rStyle w:val="Hyperlink"/>
            <w:rFonts w:ascii="Times New Roman" w:hAnsi="Times New Roman"/>
            <w:b w:val="false"/>
            <w:i w:val="false"/>
            <w:color w:val="000000"/>
            <w:sz w:val="22"/>
            <w:u w:val="single"/>
          </w:rPr>
          <w:t>www.iowamedicaidpdl.com</w:t>
        </w:r>
      </w:hyperlink>
      <w:r>
        <w:rPr>
          <w:rFonts w:ascii="Times New Roman" w:hAnsi="Times New Roman"/>
          <w:b w:val="false"/>
          <w:i w:val="false"/>
          <w:color w:val="000000"/>
          <w:sz w:val="22"/>
        </w:rPr>
        <w:t>) under the PDL/PA tab.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Nonprescription drugs for use in a nursing facility, psychiatric medical institution for children (PMIC), or intermediate care facility for persons with an intellectual disability (ICF/ID) will be included in the per diem rate paid to the nursing facility, PMIC, or ICF/ID, with the exception of OTC insulin and pseudoephedrine.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r>
        <w:rPr>
          <w:rFonts w:ascii="Times New Roman" w:hAnsi="Times New Roman"/>
          <w:b w:val="false"/>
          <w:i w:val="false"/>
          <w:color w:val="000000"/>
          <w:sz w:val="22"/>
        </w:rPr>
        <w:t>When it is not therapeutically contraindicated, the legally qualified practitioner shall prescribe not less than a one-month supply of covered prescription and nonprescription medication. Contraceptives may be prescribed in three-month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b.</w:t>
      </w:r>
      <w:r>
        <w:rPr>
          <w:rFonts w:ascii="Times New Roman" w:hAnsi="Times New Roman"/>
          <w:b w:val="false"/>
          <w:i w:val="false"/>
          <w:color w:val="000000"/>
          <w:sz w:val="22"/>
        </w:rPr>
        <w:t>  </w:t>
      </w:r>
      <w:r>
        <w:rPr>
          <w:rFonts w:ascii="Times New Roman" w:hAnsi="Times New Roman"/>
          <w:b w:val="false"/>
          <w:i/>
          <w:color w:val="000000"/>
          <w:sz w:val="22"/>
        </w:rPr>
        <w:t xml:space="preserve">Prescription refills.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 refills shall be performed and recorded in a manner consistent with existent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Automatic refills.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refills are allowed. Participation in an automatic refill program is voluntary and opt-in only, on a drug-by-drug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have: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Easy-to-locate contact information through telephone, the program’s website, or both;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Easy-to-understand patient materials on how to select or unselect drug(s) for inclusion and how to disenroll;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the member wants to continue in the automatic refill program at least annually;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Records of all consents, which must be in electronic or written format and must be available for review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w:t>
      </w:r>
      <w:r>
        <w:rPr>
          <w:rFonts w:ascii="Times New Roman" w:hAnsi="Times New Roman"/>
          <w:b w:val="false"/>
          <w:i w:val="false"/>
          <w:color w:val="000000"/>
          <w:sz w:val="22"/>
        </w:rPr>
        <w:t> </w:t>
      </w:r>
      <w:r>
        <w:rPr>
          <w:rFonts w:ascii="Times New Roman" w:hAnsi="Times New Roman"/>
          <w:b w:val="false"/>
          <w:i/>
          <w:color w:val="000000"/>
          <w:sz w:val="22"/>
        </w:rPr>
        <w:t xml:space="preserve">Lowest cost item. </w:t>
      </w:r>
      <w:r>
        <w:rPr>
          <w:rFonts w:ascii="Times New Roman" w:hAnsi="Times New Roman"/>
          <w:b w:val="false"/>
          <w:i w:val="false"/>
          <w:color w:val="000000"/>
          <w:sz w:val="22"/>
        </w:rPr>
        <w:t>The pharmacist shall dispense the lowest cost item in stock that meets the requirements of the practitioner as shown on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In accordance with Public Law 101-508 (Omnibus Budget Reconciliation Act of 1990) as amended to July 1, 2026,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can be found in rules of the Iowa board of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w:t>
      </w:r>
      <w:r>
        <w:rPr>
          <w:rFonts w:ascii="Times New Roman" w:hAnsi="Times New Roman"/>
          <w:b/>
          <w:i w:val="false"/>
          <w:color w:val="000000"/>
          <w:sz w:val="22"/>
        </w:rPr>
        <w:t xml:space="preserve">(249A) </w:t>
      </w:r>
      <w:r>
        <w:rPr>
          <w:rFonts w:ascii="Times New Roman" w:hAnsi="Times New Roman"/>
          <w:b/>
          <w:i w:val="false"/>
          <w:color w:val="000000"/>
          <w:sz w:val="22"/>
        </w:rPr>
        <w:t xml:space="preserve">Inpatient hospital services. </w:t>
      </w:r>
      <w:r>
        <w:rPr>
          <w:rFonts w:ascii="Times New Roman" w:hAnsi="Times New Roman"/>
          <w:b w:val="false"/>
          <w:i w:val="false"/>
          <w:color w:val="000000"/>
          <w:sz w:val="22"/>
        </w:rPr>
        <w:t>Payment for inpatient hospital admission is approved when it meets the criteria for inpatient hospital care as determined by Iowa Medicaid.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The criteria are available from Iowa Medicaid or in local hospital utilization review offices. No payment will be made for waiver days.</w:t>
      </w:r>
    </w:p>
    <w:p>
      <w:pPr>
        <w:spacing w:before="0" w:after="0"/>
        <w:ind w:left="120"/>
        <w:jc w:val="both"/>
      </w:pPr>
      <w:r>
        <w:rPr>
          <w:rFonts w:ascii="Times New Roman" w:hAnsi="Times New Roman"/>
          <w:b w:val="false"/>
          <w:i w:val="false"/>
          <w:color w:val="000000"/>
          <w:sz w:val="22"/>
        </w:rPr>
        <w:t xml:space="preserve">See rule </w:t>
      </w:r>
      <w:hyperlink r:id="rId46">
        <w:r>
          <w:rPr>
            <w:rStyle w:val="Hyperlink"/>
            <w:rFonts w:ascii="Times New Roman" w:hAnsi="Times New Roman"/>
            <w:b w:val="false"/>
            <w:i w:val="false"/>
            <w:color w:val="000000"/>
            <w:sz w:val="22"/>
          </w:rPr>
          <w:t>441—78.31</w:t>
        </w:r>
      </w:hyperlink>
      <w:r>
        <w:rPr>
          <w:rFonts w:ascii="Times New Roman" w:hAnsi="Times New Roman"/>
          <w:b w:val="false"/>
          <w:i w:val="false"/>
          <w:color w:val="000000"/>
          <w:sz w:val="22"/>
        </w:rPr>
        <w:t>(249A) for policies regarding payment of hospital outpatient services.</w:t>
      </w:r>
    </w:p>
    <w:p>
      <w:pPr>
        <w:spacing w:before="0" w:after="0"/>
        <w:ind w:left="120"/>
        <w:jc w:val="both"/>
      </w:pPr>
      <w:r>
        <w:rPr>
          <w:rFonts w:ascii="Times New Roman" w:hAnsi="Times New Roman"/>
          <w:b w:val="false"/>
          <w:i w:val="false"/>
          <w:color w:val="000000"/>
          <w:sz w:val="22"/>
        </w:rPr>
        <w:t xml:space="preserve">If the recipient is eligible for inpatient or outpatient hospital care through the Medicare program, payment will be made for deductibles and coinsurance as set out in </w:t>
      </w:r>
      <w:hyperlink r:id="rId47">
        <w:r>
          <w:rPr>
            <w:rStyle w:val="Hyperlink"/>
            <w:rFonts w:ascii="Times New Roman" w:hAnsi="Times New Roman"/>
            <w:b w:val="false"/>
            <w:i w:val="false"/>
            <w:color w:val="000000"/>
            <w:sz w:val="22"/>
          </w:rPr>
          <w:t>441—subrule 79.1(22)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DRG payment calculations include any special services required by the hospital, including a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val="false"/>
          <w:color w:val="000000"/>
          <w:sz w:val="22"/>
        </w:rPr>
        <w:t>Payment for Medicaid-certified physical rehabilitation units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val="false"/>
          <w:color w:val="000000"/>
          <w:sz w:val="22"/>
        </w:rPr>
        <w:t>No payment will be approved for private duty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val="false"/>
          <w:color w:val="000000"/>
          <w:sz w:val="22"/>
        </w:rPr>
        <w:t>Certification of inpatient hospital care shall be the same as that in effect in part A of Medicare. The hospital admittance records are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val="false"/>
          <w:color w:val="000000"/>
          <w:sz w:val="22"/>
        </w:rPr>
        <w:t>Services provided for intestinal or gastric bypass surgery for treatment of obesity require prior approval, which must be obtained by the attending physician before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provided to inpatients subject to the same provisions specified in subrule </w:t>
      </w:r>
      <w:hyperlink r:id="rId48">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and subparagraphs </w:t>
      </w:r>
      <w:hyperlink r:id="rId49">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“b”</w:t>
      </w:r>
      <w:r>
        <w:rPr>
          <w:rFonts w:ascii="Times New Roman" w:hAnsi="Times New Roman"/>
          <w:b w:val="false"/>
          <w:i w:val="false"/>
          <w:color w:val="000000"/>
          <w:sz w:val="22"/>
        </w:rPr>
        <w:t xml:space="preserve">(10), except for </w:t>
      </w:r>
      <w:r>
        <w:rPr>
          <w:rFonts w:ascii="Times New Roman" w:hAnsi="Times New Roman"/>
          <w:b w:val="false"/>
          <w:i/>
          <w:color w:val="000000"/>
          <w:sz w:val="22"/>
        </w:rPr>
        <w:t>“b”</w:t>
      </w:r>
      <w:r>
        <w:rPr>
          <w:rFonts w:ascii="Times New Roman" w:hAnsi="Times New Roman"/>
          <w:b w:val="false"/>
          <w:i w:val="false"/>
          <w:color w:val="000000"/>
          <w:sz w:val="22"/>
        </w:rPr>
        <w:t>(7). The basis of payment for drugs administered to inpatients is through the DRG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and supplies provided to outpatients subject to the same provisions specified in subrules </w:t>
      </w:r>
      <w:hyperlink r:id="rId50">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through </w:t>
      </w:r>
      <w:hyperlink r:id="rId51">
        <w:r>
          <w:rPr>
            <w:rStyle w:val="Hyperlink"/>
            <w:rFonts w:ascii="Times New Roman" w:hAnsi="Times New Roman"/>
            <w:b w:val="false"/>
            <w:i w:val="false"/>
            <w:color w:val="000000"/>
            <w:sz w:val="22"/>
          </w:rPr>
          <w:t>78.2(4)</w:t>
        </w:r>
      </w:hyperlink>
      <w:r>
        <w:rPr>
          <w:rFonts w:ascii="Times New Roman" w:hAnsi="Times New Roman"/>
          <w:b w:val="false"/>
          <w:i w:val="false"/>
          <w:color w:val="000000"/>
          <w:sz w:val="22"/>
        </w:rPr>
        <w:t xml:space="preserve">, except for subparagraph </w:t>
      </w:r>
      <w:hyperlink r:id="rId52">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The basis of payment for drugs provided to outpatients is through a combination of Medicaid-determined fee schedules and ambulatory payment classification, pursuant to </w:t>
      </w:r>
      <w:hyperlink r:id="rId53">
        <w:r>
          <w:rPr>
            <w:rStyle w:val="Hyperlink"/>
            <w:rFonts w:ascii="Times New Roman" w:hAnsi="Times New Roman"/>
            <w:b w:val="false"/>
            <w:i w:val="false"/>
            <w:color w:val="000000"/>
            <w:sz w:val="22"/>
          </w:rPr>
          <w:t>441—subrule 79.1(16)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w:t>
      </w:r>
      <w:r>
        <w:rPr>
          <w:rFonts w:ascii="Times New Roman" w:hAnsi="Times New Roman"/>
          <w:b w:val="false"/>
          <w:i w:val="false"/>
          <w:color w:val="000000"/>
          <w:sz w:val="22"/>
        </w:rPr>
        <w:t> </w:t>
      </w:r>
      <w:r>
        <w:rPr>
          <w:rFonts w:ascii="Times New Roman" w:hAnsi="Times New Roman"/>
          <w:b w:val="false"/>
          <w:i w:val="false"/>
          <w:color w:val="000000"/>
          <w:sz w:val="22"/>
        </w:rPr>
        <w:t>Payment for nursing care provided by a hospital will be made to those hospitals certified by the department of inspections, appeals, and licensing as meeting the standards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tests for purposes of diagnosis and treatment will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inpatient acute psychiatric intensive care services that meet the criteria in this subrule, pursuant to </w:t>
      </w:r>
      <w:hyperlink r:id="rId54">
        <w:r>
          <w:rPr>
            <w:rStyle w:val="Hyperlink"/>
            <w:rFonts w:ascii="Times New Roman" w:hAnsi="Times New Roman"/>
            <w:b w:val="false"/>
            <w:i w:val="false"/>
            <w:color w:val="000000"/>
            <w:sz w:val="22"/>
          </w:rPr>
          <w:t>441—paragraph 79.1(5)</w:t>
        </w:r>
      </w:hyperlink>
      <w:r>
        <w:rPr>
          <w:rFonts w:ascii="Times New Roman" w:hAnsi="Times New Roman"/>
          <w:b w:val="false"/>
          <w:i/>
          <w:color w:val="000000"/>
          <w:sz w:val="22"/>
        </w:rPr>
        <w:t>“i.”</w:t>
      </w:r>
      <w:r>
        <w:rPr>
          <w:rFonts w:ascii="Times New Roman" w:hAnsi="Times New Roman"/>
          <w:b w:val="false"/>
          <w:i w:val="false"/>
          <w:color w:val="000000"/>
          <w:sz w:val="22"/>
        </w:rPr>
        <w:t xml:space="preserve"> This inpatient rate is only applicable to individuals 18 to 64 years of age. All inpatient acute psychiatric intensive care services require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“Acute psychiatric intensive care” is defined as care provided for a condition with rapid onset that is accompanied by severe symptoms and is generally of brief duration, requiring emergency treatment and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meet the need for acute psychiatric intensive care, the patient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serious and persistent mental illness as defined in </w:t>
      </w:r>
      <w:hyperlink r:id="rId55">
        <w:r>
          <w:rPr>
            <w:rStyle w:val="Hyperlink"/>
            <w:rFonts w:ascii="Times New Roman" w:hAnsi="Times New Roman"/>
            <w:b w:val="false"/>
            <w:i w:val="false"/>
            <w:color w:val="000000"/>
            <w:sz w:val="22"/>
          </w:rPr>
          <w:t>441—subrule 77.25(1)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current, severe, imminent risk of serious harm to self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Display additional complexity of need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Complex comorbidities, including intellectual or developmental disability, autism spectrum disorder, substance use disorders, or traumatic brain injuries;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violence or current aggression that is secondary to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patient transfer that has been rejected by inpatient level of care by one or more hospitals due to severity of symptoms;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Lack of responsiveness to typical interventions or a condition that is treatment refractory;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Disorganized psychotic state or manic thought process that impairs the ability to function or risks the safety of the patient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that causes disruption to the general milieu of the unit (i.e., instigating other patients in negative ways);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elopement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atypical reason that the treating mental health provider feels that additional resources are needed to keep the patient and others around the patient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must have a documented need for acute intensive care requiring increased or specialized staffing, equipment, or facilities, based on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Fall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Restraints or seclusion room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complex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Acutely impaired cognitive functioning from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interventions to address acute complex mental illness and comorbidities;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protocols in place to address the physical risk posed to staff, other patients,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Elopement risk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sterilizations in accordance with </w:t>
      </w:r>
      <w:hyperlink r:id="rId56">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78.3(10)</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organ and tissue transplant services, as specified in subrule </w:t>
      </w:r>
      <w:hyperlink r:id="rId57">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xml:space="preserve">. Kidney, cornea, skin, bone, allogeneic bone marrow, autologous bone marrow, heart, liver, and lung transplants are covered as specified in subrule </w:t>
      </w:r>
      <w:hyperlink r:id="rId58">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Lung transplants are payable at Medicare-designated lung transplant centers only. Heart and liver transplants are payable when performed at facilities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selection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Selection.</w:t>
      </w:r>
      <w:r>
        <w:rPr>
          <w:rFonts w:ascii="Times New Roman" w:hAnsi="Times New Roman"/>
          <w:b w:val="false"/>
          <w:i w:val="false"/>
          <w:color w:val="000000"/>
          <w:sz w:val="22"/>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ind w:left="120"/>
        <w:jc w:val="both"/>
      </w:pPr>
      <w:r>
        <w:rPr>
          <w:rFonts w:ascii="Times New Roman" w:hAnsi="Times New Roman"/>
          <w:b w:val="false"/>
          <w:i w:val="false"/>
          <w:color w:val="000000"/>
          <w:sz w:val="22"/>
        </w:rPr>
        <w:t>Intake.</w:t>
      </w:r>
    </w:p>
    <w:p>
      <w:pPr>
        <w:spacing w:before="0" w:after="0"/>
        <w:ind w:left="120"/>
        <w:jc w:val="both"/>
      </w:pPr>
      <w:r>
        <w:rPr>
          <w:rFonts w:ascii="Times New Roman" w:hAnsi="Times New Roman"/>
          <w:b w:val="false"/>
          <w:i w:val="false"/>
          <w:color w:val="000000"/>
          <w:sz w:val="22"/>
        </w:rPr>
        <w:t>Preparation and waiting period.</w:t>
      </w:r>
    </w:p>
    <w:p>
      <w:pPr>
        <w:spacing w:before="0" w:after="0"/>
        <w:ind w:left="120"/>
        <w:jc w:val="both"/>
      </w:pPr>
      <w:r>
        <w:rPr>
          <w:rFonts w:ascii="Times New Roman" w:hAnsi="Times New Roman"/>
          <w:b w:val="false"/>
          <w:i w:val="false"/>
          <w:color w:val="000000"/>
          <w:sz w:val="22"/>
        </w:rPr>
        <w:t>Preadmission.</w:t>
      </w:r>
    </w:p>
    <w:p>
      <w:pPr>
        <w:spacing w:before="0" w:after="0"/>
        <w:ind w:left="120"/>
        <w:jc w:val="both"/>
      </w:pPr>
      <w:r>
        <w:rPr>
          <w:rFonts w:ascii="Times New Roman" w:hAnsi="Times New Roman"/>
          <w:b w:val="false"/>
          <w:i w:val="false"/>
          <w:color w:val="000000"/>
          <w:sz w:val="22"/>
        </w:rPr>
        <w:t>Hospitalization.</w:t>
      </w:r>
    </w:p>
    <w:p>
      <w:pPr>
        <w:spacing w:before="0" w:after="0"/>
        <w:ind w:left="120"/>
        <w:jc w:val="both"/>
      </w:pPr>
      <w:r>
        <w:rPr>
          <w:rFonts w:ascii="Times New Roman" w:hAnsi="Times New Roman"/>
          <w:b w:val="false"/>
          <w:i w:val="false"/>
          <w:color w:val="000000"/>
          <w:sz w:val="22"/>
        </w:rPr>
        <w:t>Discharge planning.</w:t>
      </w:r>
    </w:p>
    <w:p>
      <w:pPr>
        <w:spacing w:before="0" w:after="0"/>
        <w:ind w:left="120"/>
        <w:jc w:val="both"/>
      </w:pPr>
      <w:r>
        <w:rPr>
          <w:rFonts w:ascii="Times New Roman" w:hAnsi="Times New Roman"/>
          <w:b w:val="false"/>
          <w:i w:val="false"/>
          <w:color w:val="000000"/>
          <w:sz w:val="22"/>
        </w:rPr>
        <w:t>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Staffing and resource commitment.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Transplant surgeon.</w:t>
      </w:r>
      <w:r>
        <w:rPr>
          <w:rFonts w:ascii="Times New Roman" w:hAnsi="Times New Roman"/>
          <w:b w:val="false"/>
          <w:i w:val="false"/>
          <w:color w:val="000000"/>
          <w:sz w:val="22"/>
        </w:rPr>
        <w:t xml:space="preserve"> The transplant center must have on staff a qualified transplant surgeon.</w:t>
      </w:r>
    </w:p>
    <w:p>
      <w:pPr>
        <w:spacing w:before="0" w:after="0"/>
        <w:ind w:left="120"/>
        <w:jc w:val="both"/>
      </w:pPr>
      <w:r>
        <w:rPr>
          <w:rFonts w:ascii="Times New Roman" w:hAnsi="Times New Roman"/>
          <w:b w:val="false"/>
          <w:i w:val="false"/>
          <w:color w:val="000000"/>
          <w:sz w:val="22"/>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ind w:left="120"/>
        <w:jc w:val="both"/>
      </w:pPr>
      <w:r>
        <w:rPr>
          <w:rFonts w:ascii="Times New Roman" w:hAnsi="Times New Roman"/>
          <w:b w:val="false"/>
          <w:i w:val="false"/>
          <w:color w:val="000000"/>
          <w:sz w:val="22"/>
        </w:rPr>
        <w:t>The transplant surgeon will be certified by the American Board of Thoracic Surgery or equivalent for heart transplants and the American Board of Surgery or equivalent for liver transplants.</w:t>
      </w:r>
    </w:p>
    <w:p>
      <w:pPr>
        <w:spacing w:before="0" w:after="0"/>
        <w:ind w:left="120"/>
        <w:jc w:val="both"/>
      </w:pPr>
      <w:r>
        <w:rPr>
          <w:rFonts w:ascii="Times New Roman" w:hAnsi="Times New Roman"/>
          <w:b w:val="false"/>
          <w:i w:val="false"/>
          <w:color w:val="000000"/>
          <w:sz w:val="22"/>
        </w:rPr>
        <w:t>The transplant surgeon will be the defined leader of a stable, established transplant team that has a strong commitment to the transplant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Transplant team.</w:t>
      </w:r>
      <w:r>
        <w:rPr>
          <w:rFonts w:ascii="Times New Roman" w:hAnsi="Times New Roman"/>
          <w:b w:val="false"/>
          <w:i w:val="false"/>
          <w:color w:val="000000"/>
          <w:sz w:val="22"/>
        </w:rPr>
        <w:t xml:space="preserve"> The transplant team will be clearly defined with leadership and corresponding responsibilities of all team members identified. The team should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surgeon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board-certified internist or pediatrician with training and expertise in organ transplantation medicine and clinical use of immunosuppressive regimens.</w:t>
      </w:r>
    </w:p>
    <w:p>
      <w:pPr>
        <w:spacing w:before="0" w:after="0"/>
        <w:ind w:left="120"/>
        <w:jc w:val="both"/>
      </w:pPr>
      <w:r>
        <w:rPr>
          <w:rFonts w:ascii="Times New Roman" w:hAnsi="Times New Roman"/>
          <w:b w:val="false"/>
          <w:i w:val="false"/>
          <w:color w:val="000000"/>
          <w:sz w:val="22"/>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Physicians.</w:t>
      </w:r>
      <w:r>
        <w:rPr>
          <w:rFonts w:ascii="Times New Roman" w:hAnsi="Times New Roman"/>
          <w:b w:val="false"/>
          <w:i w:val="false"/>
          <w:color w:val="000000"/>
          <w:sz w:val="22"/>
        </w:rPr>
        <w:t xml:space="preserve"> The transplant center will have on staff or available for consultation physicians with the following areas of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Hepatology.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Immunology.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Infectious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Neurology.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Pathology.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Pulmonary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Rehabilitation medicine.</w:t>
      </w:r>
    </w:p>
    <w:p>
      <w:pPr>
        <w:spacing w:before="0" w:after="0"/>
        <w:ind w:left="120"/>
        <w:jc w:val="both"/>
      </w:pPr>
      <w:r>
        <w:rPr>
          <w:rFonts w:ascii="Times New Roman" w:hAnsi="Times New Roman"/>
          <w:b w:val="false"/>
          <w:i w:val="false"/>
          <w:color w:val="000000"/>
          <w:sz w:val="22"/>
        </w:rPr>
        <w:t>Liaison with the recipient’s permanent physician is established for the purpose of providing continuity and management of the recipient’s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Support personnel and resources.</w:t>
      </w:r>
      <w:r>
        <w:rPr>
          <w:rFonts w:ascii="Times New Roman" w:hAnsi="Times New Roman"/>
          <w:b w:val="false"/>
          <w:i w:val="false"/>
          <w:color w:val="000000"/>
          <w:sz w:val="22"/>
        </w:rPr>
        <w:t xml:space="preserve"> The center must have a commitment of sufficient resources and planning for implementation and operation of the transplant program. Indicators of the commitment will include persons with expertise in the following areas available at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Blood bank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Cardiovascular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Dietary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Laboratory services (pathology, microbiology, immunology, tissue typing, and immunosuppressive drug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Legal counsel familiar with transplantation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Nursing service department with staff available who have expertise in the care of transplant recipients, especially in managing immunosuppressed patients and hemodynamic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Psychosocial.</w:t>
      </w:r>
    </w:p>
    <w:p>
      <w:pPr>
        <w:spacing w:before="0" w:after="0"/>
        <w:ind w:left="120"/>
        <w:jc w:val="both"/>
      </w:pPr>
      <w:r>
        <w:rPr>
          <w:rFonts w:ascii="Times New Roman" w:hAnsi="Times New Roman"/>
          <w:b w:val="false"/>
          <w:i w:val="false"/>
          <w:color w:val="000000"/>
          <w:sz w:val="22"/>
        </w:rPr>
        <w:t>The center will have active cardiovascular, medical, and surgical programs with the ability and willingness to perform diagnostic and evaluative procedures appropriate to transplants on an emergency and ongoing basis.</w:t>
      </w:r>
    </w:p>
    <w:p>
      <w:pPr>
        <w:spacing w:before="0" w:after="0"/>
        <w:ind w:left="120"/>
        <w:jc w:val="both"/>
      </w:pPr>
      <w:r>
        <w:rPr>
          <w:rFonts w:ascii="Times New Roman" w:hAnsi="Times New Roman"/>
          <w:b w:val="false"/>
          <w:i w:val="false"/>
          <w:color w:val="000000"/>
          <w:sz w:val="22"/>
        </w:rPr>
        <w:t>The center will have designated an adequate number of intensive care and general service beds to support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amended to July 1, 2026.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Experience and survival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Experience.</w:t>
      </w:r>
      <w:r>
        <w:rPr>
          <w:rFonts w:ascii="Times New Roman" w:hAnsi="Times New Roman"/>
          <w:b w:val="false"/>
          <w:i w:val="false"/>
          <w:color w:val="000000"/>
          <w:sz w:val="22"/>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 For approval of an extrarenal organ transplant program it is highly desirable that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available a complete team of surgeons, physicians, and other specialists with specific experience in transplantation of that organ,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established approved renal transplant program at that institution and personnel with expertise in the extrarenal organ system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Survival rates.</w:t>
      </w:r>
      <w:r>
        <w:rPr>
          <w:rFonts w:ascii="Times New Roman" w:hAnsi="Times New Roman"/>
          <w:b w:val="false"/>
          <w:i w:val="false"/>
          <w:color w:val="000000"/>
          <w:sz w:val="22"/>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 To encourage a high level of performance, transplant programs must achieve and maintain a minimum one-year patient survival rate of 70 percent for heart transplants and 50 percent for liver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Organ procurement. </w:t>
      </w:r>
      <w:r>
        <w:rPr>
          <w:rFonts w:ascii="Times New Roman" w:hAnsi="Times New Roman"/>
          <w:b w:val="false"/>
          <w:i w:val="false"/>
          <w:color w:val="000000"/>
          <w:sz w:val="22"/>
        </w:rPr>
        <w:t xml:space="preserve">The transplant center will participate in a nationwide organ procurement and typing network. Detailed plans must exist for organ procurement yielding viable transplantable organs in reasonable numbers, meeting established legal and ethical criteria. The transplant center must be a member of the National Organ Procurement and Transplant Network.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of data, research,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Maintenance of data.</w:t>
      </w:r>
      <w:r>
        <w:rPr>
          <w:rFonts w:ascii="Times New Roman" w:hAnsi="Times New Roman"/>
          <w:b w:val="false"/>
          <w:i w:val="false"/>
          <w:color w:val="000000"/>
          <w:sz w:val="22"/>
        </w:rPr>
        <w:t xml:space="preserve"> The transplant center will collect and maintain data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and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Morbidity and mortality.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Long-term survival.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Recipient demographic information.</w:t>
      </w:r>
    </w:p>
    <w:p>
      <w:pPr>
        <w:spacing w:before="0" w:after="0"/>
        <w:ind w:left="120"/>
        <w:jc w:val="both"/>
      </w:pPr>
      <w:r>
        <w:rPr>
          <w:rFonts w:ascii="Times New Roman" w:hAnsi="Times New Roman"/>
          <w:b w:val="false"/>
          <w:i w:val="false"/>
          <w:color w:val="000000"/>
          <w:sz w:val="22"/>
        </w:rPr>
        <w:t>These data should be compiled and maintained at the transplant center monthly. The transplant center will submit the above data to the United Network for Organ Sharing yearly.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xml:space="preserve"> The transplant center will have a plan for and a commitment to research. Ongoing research regarding the transplanted organs is required. The transplant center will have a program in graduate medical education or have a formal agreement with a teaching institution for affiliation with a graduate medical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Review and evaluation.</w:t>
      </w:r>
      <w:r>
        <w:rPr>
          <w:rFonts w:ascii="Times New Roman" w:hAnsi="Times New Roman"/>
          <w:b w:val="false"/>
          <w:i w:val="false"/>
          <w:color w:val="000000"/>
          <w:sz w:val="22"/>
        </w:rPr>
        <w:t xml:space="preserve"> The transplant center will have a plan for ongoing evaluation of the transplantation program. The transplant center will have a detailed plan for review and evaluation of recipient selection, preoperative, operative, postoperative and long-term management of the recipient. The transplant center will conduct concurrent ongoing studies to ensure high quality services are provided in the transplantation program. 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 The transplant center will maintain records of all quality assurance and peer review activities concerning the transplantation program to document identification of problems or potential problems, intervention, education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 Medicare-designated heart, liver, or lung transplant facility needs only to submit evidence of this designation to Iowa Medicaid. The application procedure for other heart and liver facilities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original and two copies of the application must be submitted on 8½-by-11-inch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and data must be clearly stated, well organized and appropriately indexed to aid in its review against the criteria specified in this rule. Each page must be numbered.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application should be organized into five sections corresponding to each of the five major criteria and addressing, in order, each of the subcriteria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should be mailed to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facilities. </w:t>
      </w:r>
      <w:r>
        <w:rPr>
          <w:rFonts w:ascii="Times New Roman" w:hAnsi="Times New Roman"/>
          <w:b w:val="false"/>
          <w:i w:val="false"/>
          <w:color w:val="000000"/>
          <w:sz w:val="22"/>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will be established protocol for the systematic evaluation of patient outcome including survival statistics.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a facility applies for approval and is approved as a heart or liver transplant facility for Medicaid purposes, it is obliged to report immediately to the department any events or changes that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an assessment fee as specified in 441—paragraphs </w:t>
      </w:r>
      <w:hyperlink r:id="rId59">
        <w:r>
          <w:rPr>
            <w:rStyle w:val="Hyperlink"/>
            <w:rFonts w:ascii="Times New Roman" w:hAnsi="Times New Roman"/>
            <w:b w:val="false"/>
            <w:i w:val="false"/>
            <w:color w:val="000000"/>
            <w:sz w:val="22"/>
          </w:rPr>
          <w:t>79.1(16)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“r”</w:t>
      </w:r>
      <w:r>
        <w:rPr>
          <w:rFonts w:ascii="Times New Roman" w:hAnsi="Times New Roman"/>
          <w:b w:val="false"/>
          <w:i w:val="false"/>
          <w:color w:val="000000"/>
          <w:sz w:val="22"/>
        </w:rPr>
        <w:t xml:space="preserve"> to determine if a medical emergency exists. Medical emergency is defined as a sudden or unforeseen occurrence or combination of circumstances presenting a substantial risk to an individual’s health unless immediate medical treatment is given. The determination of whether a medical emergency exists will be based on the patient’s medical condition including presenting symptoms and medical history prior to treatment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Iowa Medicaid to require the skilled nursing care level of care shall be made at an amount equal to the sum of the direct care rate component limit for Medicare-certified hospital-based nursing facilities pursuant to </w:t>
      </w:r>
      <w:hyperlink r:id="rId60">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plus the non-direct care rate component limit for Medicare-certified hospital-based nursing facilities pursuant to </w:t>
      </w:r>
      <w:hyperlink r:id="rId61">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This rate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of the date of notice by Iowa Medicaid that the lower level of care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days Iowa Medicaid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Iowa Medicaid to require nursing facility level of care shall be made at an amount equal to the sum of the direct care rate component limit for Medicaid nursing facilities pursuant to </w:t>
      </w:r>
      <w:hyperlink r:id="rId62">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plus the non-direct care rate component limit for Medicaid nursing facilities pursuant to </w:t>
      </w:r>
      <w:hyperlink r:id="rId63">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This rate is effective: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of the date of notice by Iowa Medicaid that the lower level of care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days Iowa Medicaid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inpatient hospital charges associated with surgical procedures normally done and billed on an outpatient hospital basis is subject to review by Iowa Medicaid. Such reviews are based on random claim samples that are pulled on a monthly basis. If the information on a given inpatient claim included in that sample does not appear to support the appropriateness of inpatient level of care, that claim is sent to the Iowa Medicaid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Iowa Medicaid pursuant to </w:t>
      </w:r>
      <w:hyperlink r:id="rId6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78.3(16)</w:t>
      </w:r>
      <w:r>
        <w:rPr>
          <w:rFonts w:ascii="Times New Roman" w:hAnsi="Times New Roman"/>
          <w:b w:val="false"/>
          <w:i w:val="false"/>
          <w:color w:val="000000"/>
          <w:sz w:val="22"/>
        </w:rPr>
        <w:t> </w:t>
      </w:r>
      <w:r>
        <w:rPr>
          <w:rFonts w:ascii="Times New Roman" w:hAnsi="Times New Roman"/>
          <w:b w:val="false"/>
          <w:i w:val="false"/>
          <w:color w:val="000000"/>
          <w:sz w:val="22"/>
        </w:rPr>
        <w:t>Skilled nursing care in “swing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skilled nursing care when provided by a hospital participating in the swing-bed program certified by the department of inspections, appeals, and licensing and approved by the U.S. Department of Health and Human Services. Payment shall be at an amount equal to the sum of the direct care rate component limit for Medicare-certified hospital-based nursing facilities pursuant to </w:t>
      </w:r>
      <w:hyperlink r:id="rId65">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non-direct care rate component limit for Medicare-certified hospital-based nursing facilities pursuant to </w:t>
      </w:r>
      <w:hyperlink r:id="rId66">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Swing-bed placement is only intended to be short-term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payment for skilled nursing care provided in a hospital with a certified swing-bed program, for either initial admission or continued stay, will require prior authorization,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has fewer than 100 beds, excluding beds for newborns and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hospital has an existing certification for a swing-bed program, pursuant to paragraph </w:t>
      </w:r>
      <w:hyperlink r:id="rId67">
        <w:r>
          <w:rPr>
            <w:rStyle w:val="Hyperlink"/>
            <w:rFonts w:ascii="Times New Roman" w:hAnsi="Times New Roman"/>
            <w:b w:val="false"/>
            <w:i w:val="false"/>
            <w:color w:val="000000"/>
            <w:sz w:val="22"/>
          </w:rPr>
          <w:t>78.3(16)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being admitted for nursing facility or skilled level of care (if the member has Medicare and skilled coverage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 part of the discharge planning process for a member requiring ongoing skilled nursing care, the hospital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level of care (LOC) determination describing a member’s LOC needs, using a department Swing Bed Certification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skilled nursing facilities within a 30-mile radius of the hospital regarding available beds to meet the member’s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ind w:left="120"/>
        <w:jc w:val="both"/>
      </w:pPr>
      <w:r>
        <w:rPr>
          <w:rFonts w:ascii="Times New Roman" w:hAnsi="Times New Roman"/>
          <w:b w:val="false"/>
          <w:i w:val="false"/>
          <w:color w:val="000000"/>
          <w:sz w:val="22"/>
        </w:rPr>
        <w:t>Preadmission screening and resident review (PASRR) rules still apply for members being transferred to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78.3(18)</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Iowa Medicaid is required if hospitals are to be reimbursed for certain frequently performed surgical procedures as set forth under subrule </w:t>
      </w:r>
      <w:hyperlink r:id="rId68">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Preprocedure review is also required for other types of major surgical procedures, such as organ transplants. Criteria are available from Iowa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Dental services. </w:t>
      </w:r>
      <w:r>
        <w:rPr>
          <w:rFonts w:ascii="Times New Roman" w:hAnsi="Times New Roman"/>
          <w:b w:val="false"/>
          <w:i w:val="false"/>
          <w:color w:val="000000"/>
          <w:sz w:val="22"/>
        </w:rPr>
        <w:t>Payment is authorized only for medically necessary dental and oral surgery services provided by a dentist to the extent these services are permitted to be performed under state law either by doctors of medicine, osteopathy, dental surgery or dental medicine and would be covered if furnished by doctors of medicine or osteopathy. Services must be reasonable, necessary, and cost-effective for the prevention, diagnosis, and treatment of dental disease or injuries or for oral devices necessary for a medical condition. Payment will also be made for the following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Preventive services. </w:t>
      </w:r>
      <w:r>
        <w:rPr>
          <w:rFonts w:ascii="Times New Roman" w:hAnsi="Times New Roman"/>
          <w:b w:val="false"/>
          <w:i w:val="false"/>
          <w:color w:val="000000"/>
          <w:sz w:val="22"/>
        </w:rPr>
        <w:t>Payment will be made for the following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prophylaxis, including necessary scaling and polishing, once in a six-month period except for persons who, because of a physical or mental condition, need more frequent care. Documentation supporting the need for oral prophylaxis performed more than once in a six-month period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Topical application of fluoride, once every 90 days. (This does not include the use of fluoride prophylaxis paste as fluoride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Pit and fissure sealants for placement on deciduous and permanent posterior teeth only. Reimbursement for sealants is restricted to work performed on members through 18 years of age and on members who have a physical or mental condition that impairs their ability to maintain adequate oral hygiene. Replacement sealants are covered when medically necessary, as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Space management services in mixed dentition when premature loss of teeth would permit existing teeth to shift and cause a handicapping malocclusion, or there is too little dental ridge to accommodate either the number or the size of teeth and significant dental disease will result if the condition is not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r>
        <w:rPr>
          <w:rFonts w:ascii="Times New Roman" w:hAnsi="Times New Roman"/>
          <w:b w:val="false"/>
          <w:i w:val="false"/>
          <w:color w:val="000000"/>
          <w:sz w:val="22"/>
        </w:rPr>
        <w:t>Payment will be made for the following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comprehensive oral evaluation once per member per dental practice in a three-year period when the member has not been seen by a dentist in the dental practice during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periodic oral examination once in a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mouth radiograph survey, consisting of a minimum of 14 periapical films and bite-wing films, or a panoramic radiograph with bite-wings once in a five-year period, except when medically necessary to evaluate development and to detect anomalies, injuries and diseases. Full mouth radiograph surveys are not payable under the age of six except when medically necessary. A panographic-type radiography with bite-wings is considered the same as a full mouth radiograph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Supplemental bite-wing films only once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Single periapical films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Intraoral radiograph, occlusal.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Extraoral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Posterior-anterior and lateral skull and facial bone radiograph, survey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Temporomandibular joint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Cephalometric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Diagnostic casts only for orthodontic cases or dental implants or when requested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Cone beam images when medically necessary for situations including but not limited to detection of tumors, positioning of severely impacted teeth, supernumerary teeth or dental implants.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Restorative services. </w:t>
      </w:r>
      <w:r>
        <w:rPr>
          <w:rFonts w:ascii="Times New Roman" w:hAnsi="Times New Roman"/>
          <w:b w:val="false"/>
          <w:i w:val="false"/>
          <w:color w:val="000000"/>
          <w:sz w:val="22"/>
        </w:rPr>
        <w:t>Payment will be made for 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dental caries in those areas that require immediate attention. Restoration of incipient or nonactive carious lesions are not payable. Carious activity may be considered incipient when there is no penetration of the dento-enamel junction as demonstrated in diagnostic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Amalgam alloy and composite resin-type filling materials only once for the same restoration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Crowns when there is at least a fair prognosis for maintaining the tooth as determined by Iowa Medicaid and when a more conservative procedure would not be serviceable.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Stainless steel crowns are limited to primary and permanent posterior teeth and are covered when coronal loss of tooth structure does not allow restoration with an amalgam or composite restoration. Placement on permanent posterior teeth is allowed only for members who have a mental or physical condition that limits their ability to tolerate the procedure for placement of a different crown.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Aesthetic coated stainless steel crowns and stainless steel crowns with a resin window are limited to primary anterior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Laboratory-fabricated crowns, other than stainless steel, are limited to permanent teeth and require prior authorization. Approval will be granted when coronal loss of tooth structure does not allow restoration with an amalgam or composite restoration or when there is evidence of recurring decay surrounding a large existing restoration, a fracture, a broken cusp(s), or an endodontic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Crowns with noble or high noble metals require prior authorization. Approval will be granted for members who meet the criteria for a laboratory-fabricated crown, other than stainless steel, and who have a documented allergy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Cast post and core, post and composite or post and amalgam in addition to a crown when a tooth is functional and the integrity of the tooth would be jeopardized by no post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restoration procedures,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Amalgam or acrylic buildups, including any pins, are considered a core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two, or more restorations on one surface of a tooth will be paid as a one-surface restoration (i.e., mesial occlusal pit and distal occlusal pit of a maxillary molar or mesial and distal occlusal pits of a lower bicuspid).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Occlusal lingual groove of a maxillary molar that extends from the distal occlusal pit and down the distolingual groove will be paid as a two-surface restoration. This restoration and a mesial occlusal pit restoration on the same tooth will be paid as one,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separate one-surface restorations are payable as a two-surface restoration (i.e., an occlusal pit restoration and a buccal pit restoration are a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Tooth preparation, temporary restorations, cement bases, pulp capping, impressions, and local anesthesia are included in the restorative fee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Pin retention will be paid on a per-tooth basis and in addition to the final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More than four surfaces on an amalgam restoration will be reimbursed as a “four-surface” amalgam.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amalgam or composite restoration is not payable following a sedative filling in the same tooth unless the sedative filling was placed more than 30 days previously.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Periodontal services. </w:t>
      </w:r>
      <w:r>
        <w:rPr>
          <w:rFonts w:ascii="Times New Roman" w:hAnsi="Times New Roman"/>
          <w:b w:val="false"/>
          <w:i w:val="false"/>
          <w:color w:val="000000"/>
          <w:sz w:val="22"/>
        </w:rPr>
        <w:t>Payment may be made for 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Full-mouth debridement to enable comprehensive periodontal evaluation and diagnosis once every 24 months. This procedure is not payable on the same date of service when other prophylaxis or periodontal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Periodontal scaling and root planing once every 24 months when prior approval has been received. Prior approval will be granted per quadrant when radiographs demonstrate subgingival calculus or loss of crestal bone and when the periodontal probe chart shows evidence of pocket depths of 4 mm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Periodontal surgical procedures including gingivoplasty, osseous surgery, and osseous allograft when prior approval has been received. Payment for these surgical procedures will be approved after periodontal scaling and root planing has been provided, a reevaluation examination has been completed, and the member has demonstrated reasonable oral hygiene. Payment is also allowed for members who are unable to demonstrate reasonable oral hygiene due to a physical or mental condition, or who exhibit evidence of gingival hyperplasia, or who have a deep carious lesion that cannot be otherwise accessed for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Pedicle soft tissue graft, free soft tissue graft, and subepithelial connective tissue graft with prior approval. Authorization will be granted when the amount of tissue loss is causing problems such as continued bone loss, chronic root sensitivity, complete loss of attached tissue, or difficulty maintaining adequate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Periodontal maintenance therapy, which requires prior authorization. Approval will be granted for members who have completed periodontal scaling and root planing at least three months prior to the initial periodontal maintenance therapy and the periodontal probe chart shows evidence of pocket depths of 4 mm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Tissue regeneration procedures, which require prior authorization. Approval will be granted when radiographs show evidence of recession in relation to the muco-gingival junction and the bone level indicates the tooth has a fair to good long-term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Localized delivery of antimicrobial agents, which requires prior authorization. Approval will be granted when at least one year has elapsed since periodontal scaling and root planing was completed, the member has maintained regular periodontal maintenance, and pocket depths remain at a moderate to severe depth with bleeding on probing. Authorization is limited to once per site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w:t>
      </w:r>
      <w:r>
        <w:rPr>
          <w:rFonts w:ascii="Times New Roman" w:hAnsi="Times New Roman"/>
          <w:b w:val="false"/>
          <w:i w:val="false"/>
          <w:color w:val="000000"/>
          <w:sz w:val="22"/>
        </w:rPr>
        <w:t> </w:t>
      </w:r>
      <w:r>
        <w:rPr>
          <w:rFonts w:ascii="Times New Roman" w:hAnsi="Times New Roman"/>
          <w:b w:val="false"/>
          <w:i/>
          <w:color w:val="000000"/>
          <w:sz w:val="22"/>
        </w:rPr>
        <w:t xml:space="preserve">Endodontic services. </w:t>
      </w:r>
      <w:r>
        <w:rPr>
          <w:rFonts w:ascii="Times New Roman" w:hAnsi="Times New Roman"/>
          <w:b w:val="false"/>
          <w:i w:val="false"/>
          <w:color w:val="000000"/>
          <w:sz w:val="22"/>
        </w:rPr>
        <w:t>Payment will be made for the following 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Root canal treatments on permanent anterior and posterior teeth when there is presence of extensive decay, infection, draining fistulas, severe pain upon chewing or applied pressure, prolonged sensitivity to temperatures, or a discolored tooth indicative of a nonvital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Vital pulpotomies. Cement bases, pulp capping, and insulating liners are considered part of the restoration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Surgical endodontic treatment, including an apicoectomy, performed as a separate surgical procedure; an apicoectomy, performed in conjunction with endodontic procedure; an apical curettage; a root resection; or excision of hyperplastic tissue when nonsurgical treatment has been attempted and a reasonable time of approximately one year has elapsed after which failure has been demonstrated. Surgical endodontic procedures may be indicated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Conventional root canal treatment cannot be successfully completed because canals cannot be negotiated, debrided or obturated due to calcifications, blockages, broken instruments, severe curvatures, and dilacerated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Correction of problems resulting from conventional treatment, including gross underfilling, perforations, and canal blockages with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Endodontic retreatment when prior authorization has been received. Authorization for retreatment of a tooth with previous endodontic treatment will be granted when the conventional treatment has been completed, a reasonable time has elapsed since the initial treatment, and failure has been demonstrated with a radiograph and narrative history. A reasonable period of time is approximately one year if the treating dentist is the same and may be less if the member must see a different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w:t>
      </w:r>
      <w:r>
        <w:rPr>
          <w:rFonts w:ascii="Times New Roman" w:hAnsi="Times New Roman"/>
          <w:b w:val="false"/>
          <w:i w:val="false"/>
          <w:color w:val="000000"/>
          <w:sz w:val="22"/>
        </w:rPr>
        <w:t> </w:t>
      </w:r>
      <w:r>
        <w:rPr>
          <w:rFonts w:ascii="Times New Roman" w:hAnsi="Times New Roman"/>
          <w:b w:val="false"/>
          <w:i/>
          <w:color w:val="000000"/>
          <w:sz w:val="22"/>
        </w:rPr>
        <w:t xml:space="preserve">Oral surgery—medically necessary. </w:t>
      </w:r>
      <w:r>
        <w:rPr>
          <w:rFonts w:ascii="Times New Roman" w:hAnsi="Times New Roman"/>
          <w:b w:val="false"/>
          <w:i w:val="false"/>
          <w:color w:val="000000"/>
          <w:sz w:val="22"/>
        </w:rPr>
        <w:t xml:space="preserve">Payment will be made for medically necessary oral surgery services furnished by dentists to the extent that these services may be performed under state law either by doctors of medicine, osteopathy, dental surgery or dental medicine and would be covered if furnished by doctors of medicine or osteopathy as defined in rule </w:t>
      </w:r>
      <w:hyperlink r:id="rId69">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These services will be reimbursed in a manner consistent with the physician’s reimbursement policy. The following surgical procedures are also payable when performed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Extractions, both surgical and nonsurgical.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Impaction (soft tissue impaction, upper or lower) that requires an incision of overlying soft tissue and the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Impaction (partial bony impaction, upper or lower) that requires incision of overlying soft tissue, elevation of a flap, removal of bone and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Impaction (complete bony impaction, upper or lower) that requires incision of overlying soft tissue, elevation of a flap, removal of bone and section of the tooth for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Root recovery (surgical removal of residual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Oral antral fistula closure (or antral root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for orthodontic reasons, including ligation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to aid eruption.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Postoperative care where need is shown to be beyond normal follow-up care or for postoperative care where the original service was performed by another dentist.</w:t>
      </w:r>
    </w:p>
    <w:p>
      <w:pPr>
        <w:spacing w:before="0" w:after="0"/>
        <w:ind w:left="120"/>
        <w:jc w:val="both"/>
      </w:pPr>
      <w:r>
        <w:rPr>
          <w:rFonts w:ascii="Times New Roman" w:hAnsi="Times New Roman"/>
          <w:b w:val="false"/>
          <w:i w:val="false"/>
          <w:color w:val="000000"/>
          <w:sz w:val="22"/>
        </w:rPr>
        <w:t>Routine postoperative care is considered part of the fee for surgical procedures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w:t>
      </w:r>
      <w:r>
        <w:rPr>
          <w:rFonts w:ascii="Times New Roman" w:hAnsi="Times New Roman"/>
          <w:b w:val="false"/>
          <w:i w:val="false"/>
          <w:color w:val="000000"/>
          <w:sz w:val="22"/>
        </w:rPr>
        <w:t> </w:t>
      </w:r>
      <w:r>
        <w:rPr>
          <w:rFonts w:ascii="Times New Roman" w:hAnsi="Times New Roman"/>
          <w:b w:val="false"/>
          <w:i/>
          <w:color w:val="000000"/>
          <w:sz w:val="22"/>
        </w:rPr>
        <w:t xml:space="preserve">Prosthetic services. </w:t>
      </w:r>
      <w:r>
        <w:rPr>
          <w:rFonts w:ascii="Times New Roman" w:hAnsi="Times New Roman"/>
          <w:b w:val="false"/>
          <w:i w:val="false"/>
          <w:color w:val="000000"/>
          <w:sz w:val="22"/>
        </w:rPr>
        <w:t>Payment may be made for 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immediate denture or a first-time complete denture.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anterior teeth when prior approval has been received. Approval will be granted when radiographs demonstrate adequate space for replacement of a missing anterior tooth.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posterior teeth including six months’ postdelivery care when prior approval has been received. Approval will be granted when the member has fewer than eight posterior teeth in occlusion, excluding third molars, or the member has a full denture in one arch and a partial denture replacing posterior teeth is required in the opposing arch to balance occlusion. When one removable partial denture brings eight posterior teeth in occlusion, no additional removable partial denture will be approved.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(including an acid etch fixed partial denture) replacing anterior teeth when prior approval has been received. Approval will be granted for members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existing bridge that needs replacement due to breakage or extensive, recurrent decay.</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replacing posterior teeth when prior approval has been received. Approval will be granted for members who meet the criteria for a removable partial denture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full denture in one arch and a partial fixed denture replacing posterior teeth is required in the opposing arch to balance occlusion.</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Obturator for surgically excised palatal tissue or deficient velopharyngeal function of cleft palate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Chairside relines and laboratory-processed relines only once per prosthesis every 12 months, beginning 6 months after placement of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Tissue conditioning twice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Two repairs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Adjustments to a complete or removable partial denture when medically necessary after six months’ postdelivery care. An adjustment consists of removal of acrylic material or adjustment of teeth to eliminate a sore area or to make the denture fit better. Warming dentures and massaging them for better fit or placing them in a sonic device does not constitute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Dental implants and related services when prior authorization has been received. Prior authorization will be granted when the member is missing significant oral structures due to cancer, traumatic injuries, or developmental defects such as cleft palate and cannot use a conventional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Replacement of complete or partial dentures in less than a five-year period, which requires prior authorization. Approval will be granted once per denture replacement per arch in a five-year period when the denture has been lost, stolen or broken beyond repair or cannot be adjusted for an adequate fit. Approval will also be granted for more than one denture replacement per arch within five years for members who have a medical condition that necessitates thorough mastication. Approval will not be granted in less than a five-year period when the reason for replacement is resorption.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complete or partial denture rebase, which requires prior approval. Approval will be granted when the acrylic of the denture is cracked or has had numerous repairs and the teeth are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oral appliance for obstructive sleep apnea, which requires prior approval and must be custom-fabricated. Approval will be granted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78.4(8)</w:t>
      </w:r>
      <w:r>
        <w:rPr>
          <w:rFonts w:ascii="Times New Roman" w:hAnsi="Times New Roman"/>
          <w:b w:val="false"/>
          <w:i w:val="false"/>
          <w:color w:val="000000"/>
          <w:sz w:val="22"/>
        </w:rPr>
        <w:t> </w:t>
      </w:r>
      <w:r>
        <w:rPr>
          <w:rFonts w:ascii="Times New Roman" w:hAnsi="Times New Roman"/>
          <w:b w:val="false"/>
          <w:i/>
          <w:color w:val="000000"/>
          <w:sz w:val="22"/>
        </w:rPr>
        <w:t xml:space="preserve">Orthodontic procedures. </w:t>
      </w:r>
      <w:r>
        <w:rPr>
          <w:rFonts w:ascii="Times New Roman" w:hAnsi="Times New Roman"/>
          <w:b w:val="false"/>
          <w:i w:val="false"/>
          <w:color w:val="000000"/>
          <w:sz w:val="22"/>
        </w:rPr>
        <w:t>Payment may be made for the following orthodontic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Minor treatment to control harmful habits when prior approval has been received. Approval will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Interceptive orthodontic treatment of the transitional dentition when prior approval has been received. Approval will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Comprehensive orthodontic treatment when prior approval has been received. Approval is limited to members under 21 years of age and will be granted when the member has a severe handicapping malocclusion as defined by the department and when determined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w:t>
      </w:r>
      <w:r>
        <w:rPr>
          <w:rFonts w:ascii="Times New Roman" w:hAnsi="Times New Roman"/>
          <w:b w:val="false"/>
          <w:i w:val="false"/>
          <w:color w:val="000000"/>
          <w:sz w:val="22"/>
        </w:rPr>
        <w:t> </w:t>
      </w:r>
      <w:r>
        <w:rPr>
          <w:rFonts w:ascii="Times New Roman" w:hAnsi="Times New Roman"/>
          <w:b w:val="false"/>
          <w:i/>
          <w:color w:val="000000"/>
          <w:sz w:val="22"/>
        </w:rPr>
        <w:t xml:space="preserve">Adjunctive general services. </w:t>
      </w:r>
      <w:r>
        <w:rPr>
          <w:rFonts w:ascii="Times New Roman" w:hAnsi="Times New Roman"/>
          <w:b w:val="false"/>
          <w:i w:val="false"/>
          <w:color w:val="000000"/>
          <w:sz w:val="22"/>
        </w:rPr>
        <w:t>Payment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in a hospital. Payment will be approved for dental treatment rendered to a hospitalized member only when the mental, physical, or emotional condition of the member prevents the dentist from providing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in a nursing facility. Payment will be approved for dental treatment provided in a nursing facility. When more than one patient is examined during the same nursing home visit, payment will be made by the Medicaid program for only one visit to the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visit. Payment will be approved for an office visit for care of injuries or abnormal conditions of the teeth or supporting structure when treatment procedures or examinations are not billed for that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Office calls after hours. Payment will be approved for office calls after office hours in emergency situations. The office call will be paid in addition to treatment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Drugs. Payment will be made for drugs dispensed by a dentist only if there is no licensed retail pharmacy in the community where the dentist’s office is located. Payment will not be made for writing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Anesthesia. General anesthesia, intravenous sedation, and nonintravenous conscious sedation are payable services when the extensiveness of the procedure indicates it or there is a concomitant disease or impairment that warrants use of anesthesia. Inhalation of nitrous oxide is payable when the age or physical or mental condition of the member necessitates the use of minimal sedation for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Occlusal guard. A removable dental appliance to minimize the effects of bruxism and other occlusal factors requires prior approval. Approval will be granted when the documentation supports evidence of significant loss of tooth enamel, tooth chipping, headaches or jaw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78.4(10)</w:t>
      </w:r>
      <w:r>
        <w:rPr>
          <w:rFonts w:ascii="Times New Roman" w:hAnsi="Times New Roman"/>
          <w:b w:val="false"/>
          <w:i w:val="false"/>
          <w:color w:val="000000"/>
          <w:sz w:val="22"/>
        </w:rPr>
        <w:t> </w:t>
      </w:r>
      <w:r>
        <w:rPr>
          <w:rFonts w:ascii="Times New Roman" w:hAnsi="Times New Roman"/>
          <w:b w:val="false"/>
          <w:i/>
          <w:color w:val="000000"/>
          <w:sz w:val="22"/>
        </w:rPr>
        <w:t xml:space="preserve">Orthodontic services to members 21 years of age or older. </w:t>
      </w:r>
      <w:r>
        <w:rPr>
          <w:rFonts w:ascii="Times New Roman" w:hAnsi="Times New Roman"/>
          <w:b w:val="false"/>
          <w:i w:val="false"/>
          <w:color w:val="000000"/>
          <w:sz w:val="22"/>
        </w:rPr>
        <w:t>Orthodontic procedures are not covered for members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 xml:space="preserve">Payment will be made for emergency services as defined in and pursuant to the requirements set forth in </w:t>
      </w:r>
      <w:r>
        <w:rPr>
          <w:rFonts w:ascii="Times New Roman" w:hAnsi="Times New Roman"/>
          <w:b w:val="false"/>
          <w:i w:val="false"/>
          <w:color w:val="000000"/>
          <w:sz w:val="22"/>
        </w:rPr>
        <w:t>42 CFR 438.114</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 xml:space="preserve">Certain dental services require prior authorization as set forth in this rule. Covered dental service categories requiring prior approval are further defined and outlined in the Iowa Medicaid Dental Services Provider Manual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r>
        <w:rPr>
          <w:rFonts w:ascii="Times New Roman" w:hAnsi="Times New Roman"/>
          <w:b w:val="false"/>
          <w:i w:val="false"/>
          <w:color w:val="000000"/>
          <w:sz w:val="22"/>
        </w:rPr>
        <w:t xml:space="preserve">When dental services cannot be safely performed in a dental office, they may be provided in a hospital or ambulatory surgical center and reimbursed in accordance with rule </w:t>
      </w:r>
      <w:hyperlink r:id="rId70">
        <w:r>
          <w:rPr>
            <w:rStyle w:val="Hyperlink"/>
            <w:rFonts w:ascii="Times New Roman" w:hAnsi="Times New Roman"/>
            <w:b w:val="false"/>
            <w:i w:val="false"/>
            <w:color w:val="000000"/>
            <w:sz w:val="22"/>
          </w:rPr>
          <w:t>441—78.26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Payment requires compliance with Iowa Medicaid policies, clinical criteria, and documentation requirements as specified in the Iowa Medicaid Dental Services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Annual benefit maximum.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do not count toward the annual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Fabrication of removable dentures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when provided in conjunction with oral surgery codes approved for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Payment will be approved only for certain podiatric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orthotic appliances and treatment of nail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plantar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Plaster impressions for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Molded digital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Shoe padding when appliances are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 molded space shoes for rheumatoid arthritis, congenital defects and deformities, neurotropic, diabetic and ischemic intractable ulcerations and deformities due to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Rams horn (hypertrophic) 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Onychomycosis (mycotic) 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the same scope of podiatric services available through Part B of Title XVIII (Medicare) except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flatfoot. The term “flatfoot” is defined as a condition in which one or more arches have flattened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 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foot care. Routine foot care includes the cutting or removal of corns or calluses,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Prescriptions are required for drugs and supplies as specified in paragraph </w:t>
      </w:r>
      <w:hyperlink r:id="rId71">
        <w:r>
          <w:rPr>
            <w:rStyle w:val="Hyperlink"/>
            <w:rFonts w:ascii="Times New Roman" w:hAnsi="Times New Roman"/>
            <w:b w:val="false"/>
            <w:i w:val="false"/>
            <w:color w:val="000000"/>
            <w:sz w:val="22"/>
          </w:rPr>
          <w:t>78.1(2)</w:t>
        </w:r>
        <w:r>
          <w:rPr>
            <w:rFonts w:ascii="Times New Roman" w:hAnsi="Times New Roman"/>
            <w:b w:val="false"/>
            <w:i/>
            <w:color w:val="000000"/>
            <w:sz w:val="22"/>
          </w:rPr>
          <w:t>“c.”</w:t>
        </w:r>
      </w:hyperlink>
      <w:r>
        <w:rPr>
          <w:rFonts w:ascii="Times New Roman" w:hAnsi="Times New Roman"/>
          <w:b w:val="false"/>
          <w:i w:val="false"/>
          <w:color w:val="000000"/>
          <w:sz w:val="22"/>
        </w:rPr>
        <w:t xml:space="preserve"> Payment will be made for drugs dispensed by a podiatrist only if there is no licensed retail pharmacy in the community where the podiatrist’s office is located. If eligible to dispense drugs, the podiatrist should request a copy of the Prescribed Drugs Provider Manual as amended to July 1, 2026, from Iowa Medicaid. Payment will not be made for writing prescriptions.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Payable professional services. </w:t>
      </w:r>
      <w:r>
        <w:rPr>
          <w:rFonts w:ascii="Times New Roman" w:hAnsi="Times New Roman"/>
          <w:b w:val="false"/>
          <w:i w:val="false"/>
          <w:color w:val="000000"/>
          <w:sz w:val="22"/>
        </w:rPr>
        <w:t>Payable professional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will be subject to the same approval and payment criteria as those in effect for Medicare Part B. The following levels of service are recognized for optometric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Intermediate examination. A level of optometric or ophthalmological services pertaining to medical examination and evaluation, with initiation or continuation of a diagnostic and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will be subject to the same approval and payment criteria as those in effect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Serial tonometry. Single tonometry is part of the intermediate and comprehensive exams and is not payable as a separate procedure as is serial tonometry.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Gonioscopy.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fields. Gross visual field testing is part of general optometric services and is not reported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External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Fundus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Retinal integrity evaluation with a three-mirror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 vision and multifocal spectacle lens service, verification and subsequent service. When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spectacle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Ordering of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lenses after fabrication.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Adjustment and alignment of completed lens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spectacle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three times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four times per year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Once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Once every 24 months after eight years of age when there is a change in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Spectacle lenses made from polycarbonate or equivalent material are allowed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with vision in only one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with a diagnosis-related illness or disability where regular lenses would pose a safety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Frame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new frame is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Selection and styling.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Sizing and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Fitting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Readjustment and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frames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frame every six months is allowed for children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frame every 12 months is allowed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covered lens change and the new lenses cannot be accommodated by the current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frames are allowed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with a diagnosis-related disability or illness where regular frames would pose a safety risk or result in frequent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Repairs or replacement of frames, lenses or component parts. Payment will be made for service in addition to materials. The service fee shall not exceed the dispensing fee for a replacement frame. Payment will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Contact lenses. Payment will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16 gas permeable contact lenses are allowed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eight gas permeable contact lenses are allowed every 12 months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 to six gas permeable contact lenses are allowed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gas permeable contact lenses are allowed every 24 months for members eight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Soft contact lenses and replacements are allowed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Ophthalmic materials. </w:t>
      </w:r>
      <w:r>
        <w:rPr>
          <w:rFonts w:ascii="Times New Roman" w:hAnsi="Times New Roman"/>
          <w:b w:val="false"/>
          <w:i w:val="false"/>
          <w:color w:val="000000"/>
          <w:sz w:val="22"/>
        </w:rPr>
        <w:t>Ophthalmic materials that are provided in connection with any of the foregoing professional optometric services shall provide adequate vision as determined by the optometrist and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Corrected curve lenses,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plastic, plastic and metal combination, or metal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standards according to the American National Standards Institute (ANSI) standards and tolerance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payable by fee schedule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Spectacle lenses, single vision and multifocal.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Case for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payable at actual laboratory cost as evidenced by an attached invoice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Schroeder 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Ptosis crutch.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Safety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Subnormal visual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Photochromatic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Prior authorization is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Approval will be given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will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will be actual laboratory cost as evidenced by an attached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for photochromatic tint will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Approval for press-on prisms will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78.6(5)</w:t>
      </w:r>
      <w:r>
        <w:rPr>
          <w:rFonts w:ascii="Times New Roman" w:hAnsi="Times New Roman"/>
          <w:b w:val="false"/>
          <w:i w:val="false"/>
          <w:color w:val="000000"/>
          <w:sz w:val="22"/>
        </w:rPr>
        <w:t> </w:t>
      </w:r>
      <w:r>
        <w:rPr>
          <w:rFonts w:ascii="Times New Roman" w:hAnsi="Times New Roman"/>
          <w:b w:val="false"/>
          <w:i/>
          <w:color w:val="000000"/>
          <w:sz w:val="22"/>
        </w:rPr>
        <w:t xml:space="preserve">Noncovered services. </w:t>
      </w:r>
      <w:r>
        <w:rPr>
          <w:rFonts w:ascii="Times New Roman" w:hAnsi="Times New Roman"/>
          <w:b w:val="false"/>
          <w:i w:val="false"/>
          <w:color w:val="000000"/>
          <w:sz w:val="22"/>
        </w:rPr>
        <w:t>Noncovered services include but are not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Glasses with cosmetic gradient tint lenses or other eyewear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Glasses for occupational eye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second pair of glasses or spare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Cosmetic surgery and experimental medical and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Sunglasses.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Progressive bifocal or trifocal lenses.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441—78.7</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 xml:space="preserve">Payment will be approved only for certain services and supplies provided by opticians when prescribed by a physician (MD or DO) or an optometrist. Payment and procedure for obtaining services and supplies are the same as described in rule </w:t>
      </w:r>
      <w:hyperlink r:id="rId72">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 xml:space="preserve">Payment will be made for the same chiropractic procedures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Indications and limitations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subluxation must have resulted in a neuromusculoskeletal condition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neuromusculoskeletal conditions listed on the department’s website indicate whether the conditions require short-, moderate-, or long-term CMT. If the CMT utilization guidelines are exceeded, documentation supporting the medical necessity of additional CMT must be submitted with the Medicaid claim form or the claim will be denied for failure to provide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CMT is not a covered benefit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therapeutic benefit has been achieved for a given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not a reasonable expectation that the continuation of CMT would result in improvement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CMT seeks to prevent disease, promote health and prolong and enhance the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Documenting X-ray. </w:t>
      </w:r>
      <w:r>
        <w:rPr>
          <w:rFonts w:ascii="Times New Roman" w:hAnsi="Times New Roman"/>
          <w:b w:val="false"/>
          <w:i w:val="false"/>
          <w:color w:val="000000"/>
          <w:sz w:val="22"/>
        </w:rPr>
        <w:t>An X-ray must document the primary regions of subluxation being treated by CMT.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will be made for subsequent X-rays, absent a new condition, consistent with paragraph </w:t>
      </w:r>
      <w:hyperlink r:id="rId73">
        <w:r>
          <w:rPr>
            <w:rStyle w:val="Hyperlink"/>
            <w:rFonts w:ascii="Times New Roman" w:hAnsi="Times New Roman"/>
            <w:b w:val="false"/>
            <w:i w:val="false"/>
            <w:color w:val="000000"/>
            <w:sz w:val="22"/>
          </w:rPr>
          <w:t>78.8(3)</w:t>
        </w:r>
      </w:hyperlink>
      <w:r>
        <w:rPr>
          <w:rFonts w:ascii="Times New Roman" w:hAnsi="Times New Roman"/>
          <w:b w:val="false"/>
          <w:i/>
          <w:color w:val="000000"/>
          <w:sz w:val="22"/>
        </w:rPr>
        <w:t>“c.”</w:t>
      </w:r>
      <w:r>
        <w:rPr>
          <w:rFonts w:ascii="Times New Roman" w:hAnsi="Times New Roman"/>
          <w:b w:val="false"/>
          <w:i w:val="false"/>
          <w:color w:val="000000"/>
          <w:sz w:val="22"/>
        </w:rPr>
        <w:t xml:space="preserve"> No X-ray is required for pregnant women and for children aged 18 and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Chiropractors will be reimbursed for documenting X-rays at the physician fee schedule rate. Payable X-rays will be limited to those Current Procedural Terminology (CPT) procedure codes that are appropriate to determine the presence of a subluxation of the spine. Consistent with CPT, chiropractors may bill the professional, technical, or professional and technical components for X-rays, as appropriate. Payment for documenting X-rays will be further limited to one per condition, consistent with the provisions of paragraph </w:t>
      </w:r>
      <w:hyperlink r:id="rId74">
        <w:r>
          <w:rPr>
            <w:rStyle w:val="Hyperlink"/>
            <w:rFonts w:ascii="Times New Roman" w:hAnsi="Times New Roman"/>
            <w:b w:val="false"/>
            <w:i w:val="false"/>
            <w:color w:val="000000"/>
            <w:sz w:val="22"/>
          </w:rPr>
          <w:t>78.8(3)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claim for a documenting X-ray related to the onset of a new condition is only payable if the X-ray is reasonably proximate to the initiation of CMT for the new condition, as defined in paragraph </w:t>
      </w:r>
      <w:hyperlink r:id="rId75">
        <w:r>
          <w:rPr>
            <w:rStyle w:val="Hyperlink"/>
            <w:rFonts w:ascii="Times New Roman" w:hAnsi="Times New Roman"/>
            <w:b w:val="false"/>
            <w:i w:val="false"/>
            <w:color w:val="000000"/>
            <w:sz w:val="22"/>
          </w:rPr>
          <w:t>78.8(3)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chiropractor is also authorized to order a documenting X-ray whether or not the chiropractor owns or possesses X-ray equipment in the chiropractor’s office. Any X-rays so ordered will be payable to the X-ray provider, consistent with the provisions in this paragraph.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Payment will be approved for medically necessary home health agency services prescribed by a physician, nurse practitioner, clinical nurse specialist, or PA in a plan of home health care provided by a Medicare-certified home health agency.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member need not be homebound to be eligible for home health agency services; however, the services provided by a home health agency will only be covered when provided in the member’s residence with the following exception. Private duty nursing and personal care services for persons aged 20 and under as described at paragraph </w:t>
      </w:r>
      <w:hyperlink r:id="rId76">
        <w:r>
          <w:rPr>
            <w:rStyle w:val="Hyperlink"/>
            <w:rFonts w:ascii="Times New Roman" w:hAnsi="Times New Roman"/>
            <w:b w:val="false"/>
            <w:i w:val="false"/>
            <w:color w:val="000000"/>
            <w:sz w:val="22"/>
          </w:rPr>
          <w:t>78.9(10)</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provided in settings other than the member’s residence when medically necessary.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Medicaid members of home health agency services need not first require skilled nursing care to be entitled to home health aide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Further limitations related to specific components of home health agency services are noted in subrules </w:t>
      </w:r>
      <w:hyperlink r:id="rId77">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xml:space="preserve"> through </w:t>
      </w:r>
      <w:hyperlink r:id="rId78">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Payment will be made on an encounter basis. An encounter is defined as separately identifiable hours in which home health agency staff provide continuous service to a member.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Dressings, durable medical equipment, and other supplies shall be obtained from a durable medical equipment dealer or pharmacy.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Payment may be made for restorative and maintenance home health agency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Payment may be made for teaching, training, and counseling in the provision of health care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following are not covered: services provided in the home health agency office, homemaker services, well child care and supervision, and medical equipment rental or purchase.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Services shall be authorized by a physician, nurse practitioner, clinical nurse specialist, or PA, evidenced by the physician’s, nurse practitioner’s, clinical nurse specialist’s, or PA’s signature and date on a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A plan of treatment shall be completed prior to the start of care and at a minimum reviewed every 60 days thereafter. There must be a face-to-face encounter between a physician, a nurse practitioner, a clinical nurse specialist, a certified nurse-midwife, or a PA and the Medicaid member no more than 90 days before or 30 days after the start of service.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home health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physician, nurse practitioner, clinical nurse specialist,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period (no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Estimated date of discharge from the hospital or home health agency services,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nurse practitioner’s, clinical nurse specialist’s, or PA’s signature and date. The plan of care must be signed and dated by the physician, nurse practitioner, clinical nurse specialist, or PA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78.9(2)</w:t>
      </w:r>
      <w:r>
        <w:rPr>
          <w:rFonts w:ascii="Times New Roman" w:hAnsi="Times New Roman"/>
          <w:b w:val="false"/>
          <w:i w:val="false"/>
          <w:color w:val="000000"/>
          <w:sz w:val="22"/>
        </w:rPr>
        <w:t> </w:t>
      </w:r>
      <w:r>
        <w:rPr>
          <w:rFonts w:ascii="Times New Roman" w:hAnsi="Times New Roman"/>
          <w:b w:val="false"/>
          <w:i/>
          <w:color w:val="000000"/>
          <w:sz w:val="22"/>
        </w:rPr>
        <w:t xml:space="preserve">Supervisory visits. </w:t>
      </w:r>
      <w:r>
        <w:rPr>
          <w:rFonts w:ascii="Times New Roman" w:hAnsi="Times New Roman"/>
          <w:b w:val="false"/>
          <w:i w:val="false"/>
          <w:color w:val="000000"/>
          <w:sz w:val="22"/>
        </w:rPr>
        <w:t xml:space="preserve">Payment will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79">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78.9(3)</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services. </w:t>
      </w:r>
      <w:r>
        <w:rPr>
          <w:rFonts w:ascii="Times New Roman" w:hAnsi="Times New Roman"/>
          <w:b w:val="false"/>
          <w:i w:val="false"/>
          <w:color w:val="000000"/>
          <w:sz w:val="22"/>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are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will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PA’s estimate of the length of time that additional visits will be necessary. Daily skilled nursing visits or multiple daily visits for wound care or insulin injections will be covered when ordered by a physician, nurse practitioner, clinical nurse specialist, or a PA and included in the plan of care. Other daily skilled nursing visits that are ordered for an indefinite period of time and designated as daily skilled nursing care do not meet the intermittent definition and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Skilled nursing services will be evaluated based on the complexity of the service and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Private duty nursing for persons aged 21 and over is not a covered service. See subrule </w:t>
      </w:r>
      <w:hyperlink r:id="rId80">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for guidelines for private duty nursing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r>
        <w:rPr>
          <w:rFonts w:ascii="Times New Roman" w:hAnsi="Times New Roman"/>
          <w:b w:val="false"/>
          <w:i w:val="false"/>
          <w:color w:val="000000"/>
          <w:sz w:val="22"/>
        </w:rPr>
        <w:t xml:space="preserve">Payment will be made for physical therapy services when the services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81">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For physical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78.9(5)</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r>
        <w:rPr>
          <w:rFonts w:ascii="Times New Roman" w:hAnsi="Times New Roman"/>
          <w:b w:val="false"/>
          <w:i w:val="false"/>
          <w:color w:val="000000"/>
          <w:sz w:val="22"/>
        </w:rPr>
        <w:t xml:space="preserve">Payment will be made for occupational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82">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For occupational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78.9(6)</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r>
        <w:rPr>
          <w:rFonts w:ascii="Times New Roman" w:hAnsi="Times New Roman"/>
          <w:b w:val="false"/>
          <w:i w:val="false"/>
          <w:color w:val="000000"/>
          <w:sz w:val="22"/>
        </w:rPr>
        <w:t xml:space="preserve">Payment will be made for speech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83">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For speech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78.9(7)</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Payment will be made for unskilled services provided by a home health aide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as well as the frequency and duration are stated in a written plan of treatment established by a physician, nurse practitioner, clinical nurse specialist, or PA.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PA and included in a plan of care will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that are not related to patient care are not a covered service if personal care is not rendered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home health aide services, the treatment plan shall additionally reflect the number of hours per visit and the living arrangement of the member, e.g., lives alone or with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78.9(9)</w:t>
      </w:r>
      <w:r>
        <w:rPr>
          <w:rFonts w:ascii="Times New Roman" w:hAnsi="Times New Roman"/>
          <w:b w:val="false"/>
          <w:i w:val="false"/>
          <w:color w:val="000000"/>
          <w:sz w:val="22"/>
        </w:rPr>
        <w:t> </w:t>
      </w:r>
      <w:r>
        <w:rPr>
          <w:rFonts w:ascii="Times New Roman" w:hAnsi="Times New Roman"/>
          <w:b w:val="false"/>
          <w:i/>
          <w:color w:val="000000"/>
          <w:sz w:val="22"/>
        </w:rPr>
        <w:t xml:space="preserve">Home health agency care for maternity patients and children. </w:t>
      </w:r>
      <w:r>
        <w:rPr>
          <w:rFonts w:ascii="Times New Roman" w:hAnsi="Times New Roman"/>
          <w:b w:val="false"/>
          <w:i w:val="false"/>
          <w:color w:val="000000"/>
          <w:sz w:val="22"/>
        </w:rPr>
        <w:t>The intent of home health agency services for maternity patients and children is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plans for maternity patients and children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factor or symptom that verifies the child is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reason the member is unable to obtain care outside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medically related task of the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services and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medical necessity for the services to be rendered. A single high-risk factor does not provide sufficient documentation of the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prenatal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history of prenatal complications such as fetal death, eclampsia, C-section delivery, psychosis, or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prenatal problems such as hypertensive disorders of pregnancy, diabetes, cardiac disease, sickle cell anemia, low hemoglobin, mental illness, or 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Sociocultural or ethnic problems such as language barriers, lack of family support, insufficient dietary practices, history of child abuse or neglect, or single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Preexisting disabilities such as sensory deficits, or mental or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Second pregnancy in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Death of a close family member or significant other within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postpartum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postpartum complications such as severe hemorrhage, eclampsia, or C-section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Preexisting mental or physical disabilities such as deaf, hard of hearing, blind, hemiplegic, activity-limiting disease, sickle cell anemia, uncontrolled hypertension, uncontrolled diabetes, mental illness, or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Symptoms of postpartum psychosis.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sociocultural or ethnic problems such as lack of job, family problems, single mother, lack of support system, or history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Demonstrated disturbance in maternal and infant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from hospital against medical advice before 36 hours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Insufficient antepartum care by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Multiple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Nonhospital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weight of five pounds or under or over ten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History of severe respiratory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congenital anomalies such as neonatal complications which necessitate planning for long-term follow-up such as postsurgical care, poor prognosis, home stimulation activities, or periodic development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Disabling birth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Extended hospitalization and separation from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Genetic disorders, such as Down syndrome, and phenylketonuria or other metabolic conditions that may lead to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Noted parental rejection or indifference toward baby such as never visiting or calling the hospital about the baby’s condition during the infant’s extended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sociocultural or ethnic problems such as low education level or lack of knowledge of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against medical advice before 36 hours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Nutrition or feeding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preschool or school-age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or sibling victim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 or other physical disabilities necessitating long-term follow-up or major readjustments in family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basic series of immunizations by 18 months, or boosters by 6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illness such as asthma, cardiac, respiratory or renal disease, diabetes, cystic fibrosis, or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Malignancies such as leukemia or carcinoma.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Severe injuries necessitating treatment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Disruption in family or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Suspected developmental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Nutritional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78.9(10)</w:t>
      </w:r>
      <w:r>
        <w:rPr>
          <w:rFonts w:ascii="Times New Roman" w:hAnsi="Times New Roman"/>
          <w:b w:val="false"/>
          <w:i w:val="false"/>
          <w:color w:val="000000"/>
          <w:sz w:val="22"/>
        </w:rPr>
        <w:t> </w:t>
      </w:r>
      <w:r>
        <w:rPr>
          <w:rFonts w:ascii="Times New Roman" w:hAnsi="Times New Roman"/>
          <w:b w:val="false"/>
          <w:i/>
          <w:color w:val="000000"/>
          <w:sz w:val="22"/>
        </w:rPr>
        <w:t xml:space="preserve">Private duty nursing or personal care services for persons aged 20 and under. </w:t>
      </w:r>
      <w:r>
        <w:rPr>
          <w:rFonts w:ascii="Times New Roman" w:hAnsi="Times New Roman"/>
          <w:b w:val="false"/>
          <w:i w:val="false"/>
          <w:color w:val="000000"/>
          <w:sz w:val="22"/>
        </w:rPr>
        <w:t>Payment for private duty nursing or personal care services for persons aged 20 and under will be approved if determined to be medically necessary. Payment will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that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84">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 Enhanced payment under the interim fee schedule will be made available for services to children who are technology dependent, i.e., ventilator dependent or whose medical condition is so unstable as to otherwise require intensive care in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do not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Homework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85">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will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will not be granted for treatment plans that exceed 16 hours of home health agency services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78.9(11)</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home health agency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441—78.10</w:t>
      </w:r>
      <w:r>
        <w:rPr>
          <w:rFonts w:ascii="Times New Roman" w:hAnsi="Times New Roman"/>
          <w:b/>
          <w:i w:val="false"/>
          <w:color w:val="000000"/>
          <w:sz w:val="22"/>
        </w:rPr>
        <w:t xml:space="preserve">(249A) </w:t>
      </w:r>
      <w:r>
        <w:rPr>
          <w:rFonts w:ascii="Times New Roman" w:hAnsi="Times New Roman"/>
          <w:b/>
          <w:i w:val="false"/>
          <w:color w:val="000000"/>
          <w:sz w:val="22"/>
        </w:rPr>
        <w:t xml:space="preserve">Durable medical equipment (DME), prosthetic devices and medical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color w:val="000000"/>
          <w:sz w:val="22"/>
        </w:rPr>
        <w:t xml:space="preserve">General payment requirements. </w:t>
      </w:r>
      <w:r>
        <w:rPr>
          <w:rFonts w:ascii="Times New Roman" w:hAnsi="Times New Roman"/>
          <w:b w:val="false"/>
          <w:i w:val="false"/>
          <w:color w:val="000000"/>
          <w:sz w:val="22"/>
        </w:rPr>
        <w:t xml:space="preserve">Payment will be made for items of DME, prosthetic devices and medical supplies, subject to the following general requirements and the requirements of subrule </w:t>
      </w:r>
      <w:hyperlink r:id="rId86">
        <w:r>
          <w:rPr>
            <w:rStyle w:val="Hyperlink"/>
            <w:rFonts w:ascii="Times New Roman" w:hAnsi="Times New Roman"/>
            <w:b w:val="false"/>
            <w:i w:val="false"/>
            <w:color w:val="000000"/>
            <w:sz w:val="22"/>
          </w:rPr>
          <w:t>78.10(2)</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78.10(3)</w:t>
        </w:r>
      </w:hyperlink>
      <w:r>
        <w:rPr>
          <w:rFonts w:ascii="Times New Roman" w:hAnsi="Times New Roman"/>
          <w:b w:val="false"/>
          <w:i w:val="false"/>
          <w:color w:val="000000"/>
          <w:sz w:val="22"/>
        </w:rPr>
        <w:t xml:space="preserve">, or </w:t>
      </w:r>
      <w:hyperlink r:id="rId88">
        <w:r>
          <w:rPr>
            <w:rStyle w:val="Hyperlink"/>
            <w:rFonts w:ascii="Times New Roman" w:hAnsi="Times New Roman"/>
            <w:b w:val="false"/>
            <w:i w:val="false"/>
            <w:color w:val="000000"/>
            <w:sz w:val="22"/>
          </w:rPr>
          <w:t>78.10(4)</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prosthetic devices, and medical supplies must be required by the member because of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shall be necessary and reasonable either for the treatment of an illness or injury, or to improve the functioning of a malformed body part. Determination will be made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item is necessary when it can be expected to make a meaningful contribution to the treatment of a specific illness or injury or to the improvement in function of a malformed body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physician’s (doctor of medicine, osteopathy, or podiatry), PA’s, or ARNP’s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ind w:left="120"/>
        <w:jc w:val="both"/>
      </w:pPr>
      <w:r>
        <w:rPr>
          <w:rFonts w:ascii="Times New Roman" w:hAnsi="Times New Roman"/>
          <w:b w:val="false"/>
          <w:i w:val="false"/>
          <w:color w:val="000000"/>
          <w:sz w:val="22"/>
        </w:rPr>
        <w:t xml:space="preserve">For items requiring prior authorization, a request shall include a physician’s, PA’s, or ARNP’s written order or prescription and sufficient medical documentation to permit an independent conclusion that the requirements for the equipment or device are met and the item is medically necessary and reasonable. A request for prior authorization is made using an Outpatient Prior Authorization Request form. See rule </w:t>
      </w:r>
      <w:hyperlink r:id="rId89">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Nonmedical items will not be covered. These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e.g., an exercycle,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First-aid or precautionary-type equipment, e.g., preset portable oxygen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Self-help devices, e.g., safety grab bars, raised toilet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equipment, e.g., speech teaching machines, braille training 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used for environmental control or to enhance the environmental setting, e.g., room heaters, air conditioners, humidifiers, dehumidifiers, and electric air cleaners.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that basically serves comfort or convenience functions or is primarily for the convenience of a person caring for the member, e.g., elevators, stairway elevators and posture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payable is based on the least expensive item that meets the member’s medical needs. Payment will not be approved for items that serve duplicate functions. </w:t>
      </w:r>
      <w:r>
        <w:rPr>
          <w:rFonts w:ascii="Times New Roman" w:hAnsi="Times New Roman"/>
          <w:b w:val="false"/>
          <w:i w:val="false"/>
          <w:color w:val="000000"/>
          <w:sz w:val="22"/>
        </w:rPr>
        <w:t>EXCEPTION</w:t>
      </w:r>
      <w:r>
        <w:rPr>
          <w:rFonts w:ascii="Times New Roman" w:hAnsi="Times New Roman"/>
          <w:b w:val="false"/>
          <w:i w:val="false"/>
          <w:color w:val="000000"/>
          <w:sz w:val="22"/>
        </w:rPr>
        <w:t>: A second ventilator, with approved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rental or purchase based on the price of the item and the length of time it would be required. The decision on rental or purchase will be made by Iowa Medicaid and be based on the most reasonable method to provide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rental payments will be applied to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 Ventilators and oxygen systems shall be maintained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deposit shall not be charged by a provider to a Medicaid member or any other person on behalf of a Medicaid member for rental of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necessary repair, maintenance, and supplies for member-owned equipment. No payment may be made for repairs, maintenance, or supplies when the member is renting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Replacement of member-owned equipment is covered in cases of loss or irreparable damage or when required because of a change in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DME, prosthetic devices or 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fee schedule amount is allowed when prior authorization has been obtained. See </w:t>
      </w:r>
      <w:hyperlink r:id="rId9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DME is equipment that can withstand repeated use, is primarily and customarily used to serve a medical purpose, is generally not useful to a person in the absence of an illness or injury, and is appropriate for use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in a hospital, nursing facility, or ICF/ID is not separately payable.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services in a nursing facility or an ICF/ID when all of the following requirements and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documentation or a reasonable facsimile is completed by a physician, PA, or ARNP and qualifies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documentation shows that the member requires oxygen for 12 hours or more per day for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Oxygen logs must be maintained by the provider. The time between any reading shall not exceed more than 45 days. The documentation maintained in the provider record must contain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initial, periodic and ending reading on the time meter clock on each oxygen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dates of each initial, periodic and ending reading,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ongoing need for oxygen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Medicaid payment will be based on the least costly method of oxygen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Medicaid payment will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is not allowed for oxygen services that are not documented according to the department of inspections, appeals, and licensing requirements in </w:t>
      </w:r>
      <w:hyperlink r:id="rId91">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generating devices with approved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Wheelchairs for members in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DME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Automated medication dispenser. </w:t>
      </w:r>
    </w:p>
    <w:p>
      <w:pPr>
        <w:spacing w:before="0" w:after="0"/>
        <w:ind w:left="120"/>
        <w:jc w:val="both"/>
      </w:pPr>
      <w:r>
        <w:rPr>
          <w:rFonts w:ascii="Times New Roman" w:hAnsi="Times New Roman"/>
          <w:b w:val="false"/>
          <w:i w:val="false"/>
          <w:color w:val="000000"/>
          <w:sz w:val="22"/>
        </w:rPr>
        <w:t xml:space="preserve">Bathtub/shower chair, bench. See subrule </w:t>
      </w:r>
      <w:hyperlink r:id="rId92">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Commode, shower commode chair. See subrule </w:t>
      </w:r>
      <w:hyperlink r:id="rId93">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Decubitus equipment.</w:t>
      </w:r>
    </w:p>
    <w:p>
      <w:pPr>
        <w:spacing w:before="0" w:after="0"/>
        <w:ind w:left="120"/>
        <w:jc w:val="both"/>
      </w:pPr>
      <w:r>
        <w:rPr>
          <w:rFonts w:ascii="Times New Roman" w:hAnsi="Times New Roman"/>
          <w:b w:val="false"/>
          <w:i w:val="false"/>
          <w:color w:val="000000"/>
          <w:sz w:val="22"/>
        </w:rPr>
        <w:t>Dialysis equipment.</w:t>
      </w:r>
    </w:p>
    <w:p>
      <w:pPr>
        <w:spacing w:before="0" w:after="0"/>
        <w:ind w:left="120"/>
        <w:jc w:val="both"/>
      </w:pPr>
      <w:r>
        <w:rPr>
          <w:rFonts w:ascii="Times New Roman" w:hAnsi="Times New Roman"/>
          <w:b w:val="false"/>
          <w:i w:val="false"/>
          <w:color w:val="000000"/>
          <w:sz w:val="22"/>
        </w:rPr>
        <w:t>Diaphragm (contraceptive device).</w:t>
      </w:r>
    </w:p>
    <w:p>
      <w:pPr>
        <w:spacing w:before="0" w:after="0"/>
        <w:ind w:left="120"/>
        <w:jc w:val="both"/>
      </w:pPr>
      <w:r>
        <w:rPr>
          <w:rFonts w:ascii="Times New Roman" w:hAnsi="Times New Roman"/>
          <w:b w:val="false"/>
          <w:i w:val="false"/>
          <w:color w:val="000000"/>
          <w:sz w:val="22"/>
        </w:rPr>
        <w:t xml:space="preserve">Enclosed bed. See subrule </w:t>
      </w:r>
      <w:hyperlink r:id="rId94">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Enuresis alarm system (bed-wetting alarm device) for members five years of age or older.</w:t>
      </w:r>
    </w:p>
    <w:p>
      <w:pPr>
        <w:spacing w:before="0" w:after="0"/>
        <w:ind w:left="120"/>
        <w:jc w:val="both"/>
      </w:pPr>
      <w:r>
        <w:rPr>
          <w:rFonts w:ascii="Times New Roman" w:hAnsi="Times New Roman"/>
          <w:b w:val="false"/>
          <w:i w:val="false"/>
          <w:color w:val="000000"/>
          <w:sz w:val="22"/>
        </w:rPr>
        <w:t>Heat/cold application device.</w:t>
      </w:r>
    </w:p>
    <w:p>
      <w:pPr>
        <w:spacing w:before="0" w:after="0"/>
        <w:ind w:left="120"/>
        <w:jc w:val="both"/>
      </w:pPr>
      <w:r>
        <w:rPr>
          <w:rFonts w:ascii="Times New Roman" w:hAnsi="Times New Roman"/>
          <w:b w:val="false"/>
          <w:i w:val="false"/>
          <w:color w:val="000000"/>
          <w:sz w:val="22"/>
        </w:rPr>
        <w:t>Hospital bed and accessories.</w:t>
      </w:r>
    </w:p>
    <w:p>
      <w:pPr>
        <w:spacing w:before="0" w:after="0"/>
        <w:ind w:left="120"/>
        <w:jc w:val="both"/>
      </w:pPr>
      <w:r>
        <w:rPr>
          <w:rFonts w:ascii="Times New Roman" w:hAnsi="Times New Roman"/>
          <w:b w:val="false"/>
          <w:i w:val="false"/>
          <w:color w:val="000000"/>
          <w:sz w:val="22"/>
        </w:rPr>
        <w:t xml:space="preserve">Inhalation equipment. See subrule </w:t>
      </w:r>
      <w:hyperlink r:id="rId9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Insulin infusion pump. See subrule </w:t>
      </w:r>
      <w:hyperlink r:id="rId96">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Lymphedema pump.</w:t>
      </w:r>
    </w:p>
    <w:p>
      <w:pPr>
        <w:spacing w:before="0" w:after="0"/>
        <w:ind w:left="120"/>
        <w:jc w:val="both"/>
      </w:pPr>
      <w:r>
        <w:rPr>
          <w:rFonts w:ascii="Times New Roman" w:hAnsi="Times New Roman"/>
          <w:b w:val="false"/>
          <w:i w:val="false"/>
          <w:color w:val="000000"/>
          <w:sz w:val="22"/>
        </w:rPr>
        <w:t xml:space="preserve">Mobility device and accessories. See subrule </w:t>
      </w:r>
      <w:hyperlink r:id="rId9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Neuromuscular stimulator.</w:t>
      </w:r>
    </w:p>
    <w:p>
      <w:pPr>
        <w:spacing w:before="0" w:after="0"/>
        <w:ind w:left="120"/>
        <w:jc w:val="both"/>
      </w:pPr>
      <w:r>
        <w:rPr>
          <w:rFonts w:ascii="Times New Roman" w:hAnsi="Times New Roman"/>
          <w:b w:val="false"/>
          <w:i w:val="false"/>
          <w:color w:val="000000"/>
          <w:sz w:val="22"/>
        </w:rPr>
        <w:t>Oximeter.</w:t>
      </w:r>
    </w:p>
    <w:p>
      <w:pPr>
        <w:spacing w:before="0" w:after="0"/>
        <w:ind w:left="120"/>
        <w:jc w:val="both"/>
      </w:pPr>
      <w:r>
        <w:rPr>
          <w:rFonts w:ascii="Times New Roman" w:hAnsi="Times New Roman"/>
          <w:b w:val="false"/>
          <w:i w:val="false"/>
          <w:color w:val="000000"/>
          <w:sz w:val="22"/>
        </w:rPr>
        <w:t xml:space="preserve">Oxygen, subject to the limitations in paragraphs </w:t>
      </w:r>
      <w:hyperlink r:id="rId98">
        <w:r>
          <w:rPr>
            <w:rStyle w:val="Hyperlink"/>
            <w:rFonts w:ascii="Times New Roman" w:hAnsi="Times New Roman"/>
            <w:b w:val="false"/>
            <w:i w:val="false"/>
            <w:color w:val="000000"/>
            <w:sz w:val="22"/>
          </w:rPr>
          <w:t>78.10(2)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Patient lift. See subrule </w:t>
      </w:r>
      <w:hyperlink r:id="rId99">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Phototherapy bilirubin light.</w:t>
      </w:r>
    </w:p>
    <w:p>
      <w:pPr>
        <w:spacing w:before="0" w:after="0"/>
        <w:ind w:left="120"/>
        <w:jc w:val="both"/>
      </w:pPr>
      <w:r>
        <w:rPr>
          <w:rFonts w:ascii="Times New Roman" w:hAnsi="Times New Roman"/>
          <w:b w:val="false"/>
          <w:i w:val="false"/>
          <w:color w:val="000000"/>
          <w:sz w:val="22"/>
        </w:rPr>
        <w:t>Protective helmet.</w:t>
      </w:r>
    </w:p>
    <w:p>
      <w:pPr>
        <w:spacing w:before="0" w:after="0"/>
        <w:ind w:left="120"/>
        <w:jc w:val="both"/>
      </w:pPr>
      <w:r>
        <w:rPr>
          <w:rFonts w:ascii="Times New Roman" w:hAnsi="Times New Roman"/>
          <w:b w:val="false"/>
          <w:i w:val="false"/>
          <w:color w:val="000000"/>
          <w:sz w:val="22"/>
        </w:rPr>
        <w:t>Seat lift chair.</w:t>
      </w:r>
    </w:p>
    <w:p>
      <w:pPr>
        <w:spacing w:before="0" w:after="0"/>
        <w:ind w:left="120"/>
        <w:jc w:val="both"/>
      </w:pPr>
      <w:r>
        <w:rPr>
          <w:rFonts w:ascii="Times New Roman" w:hAnsi="Times New Roman"/>
          <w:b w:val="false"/>
          <w:i w:val="false"/>
          <w:color w:val="000000"/>
          <w:sz w:val="22"/>
        </w:rPr>
        <w:t xml:space="preserve">Speech generating device. See subrule </w:t>
      </w:r>
      <w:hyperlink r:id="rId10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Traction equipment.</w:t>
      </w:r>
    </w:p>
    <w:p>
      <w:pPr>
        <w:spacing w:before="0" w:after="0"/>
        <w:ind w:left="120"/>
        <w:jc w:val="both"/>
      </w:pPr>
      <w:r>
        <w:rPr>
          <w:rFonts w:ascii="Times New Roman" w:hAnsi="Times New Roman"/>
          <w:b w:val="false"/>
          <w:i w:val="false"/>
          <w:color w:val="000000"/>
          <w:sz w:val="22"/>
        </w:rPr>
        <w:t>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of home oxygen equipment and oxygen will be considered reasonable and necessary for members in accordance with Medicare criteria and as shown by supporting medical documentation. The physician, PA, or ARNP shall document that other forms of treatment are contraindicated or have been tried and have not been successful and that oxygen therapy is required. </w:t>
      </w:r>
      <w:r>
        <w:rPr>
          <w:rFonts w:ascii="Times New Roman" w:hAnsi="Times New Roman"/>
          <w:b w:val="false"/>
          <w:i w:val="false"/>
          <w:color w:val="000000"/>
          <w:sz w:val="22"/>
        </w:rPr>
        <w:t>EXCEPTION</w:t>
      </w:r>
      <w:r>
        <w:rPr>
          <w:rFonts w:ascii="Times New Roman" w:hAnsi="Times New Roman"/>
          <w:b w:val="false"/>
          <w:i w:val="false"/>
          <w:color w:val="000000"/>
          <w:sz w:val="22"/>
        </w:rPr>
        <w:t>: Home oxygen equipment and oxygen are covered for children through three years of age when prescribed by a physician, PA, or ARNP. A pulse oximeter reading must be obtained yearly and documented in the provider and physician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identify the medical necessity for oxygen therapy, medical documentation, or a reasonable facsimile completed by a physician, PA, or ARNP shall qualify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condition or need for oxygen services changes, the attending physician, PA, or ARNP must adjust the documentation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PA, or ARNP of the specific activities for which portable oxygen is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oxygen systems will be made only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accessories, disposable supplies, servicing, and repairing of oxygen systems are included in the monthly Medicaid payment for oxygen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manual wheelchairs. Coverage of a standard manual wheelchair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 rims with or without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Weight-specific components required by the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Elevating legrest, lower extension tube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Armrest (detachable, non-adjustable or adjustable) with or without arm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Footrest (swingaway, detachable), including lower extension tube(s)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 size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Wheelchair bearings;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Caster fork, replacement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manual wheelchair accessories that are separately billable and require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Headrest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One-arm drive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Positioning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skin protection seat and back cushions;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Anti-rollback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Coverage of a standard power wheelchair requires prior authorization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Lap belt or safety belt;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Battery charger, single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Legrests (fixed, swingaway, or detachable non-elevation legrests with or without calf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Footrests/foot platform (fixed, swingaway, detachable footrests or a foot platform without angle adjustment, single adjustable footplate);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Armrests (fixed, swingaway, detachable non-adjustable height armrests with arm pad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weight-specific components (braces, bars, upholstery, brackets, motors, gears, etc.) as required by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seat width and depth. For power wheelchairs with a sling/solid seat/back, the following may be billed separately: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back width. For power wheelchairs with a sling/solid seat/back, the following may be billed separately: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Non-expandable controller or standard proportional joystick (integrated or remote);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accessories that are billed separately and require a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Shoulder harness/straps or chest straps/vest;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Elevating legrest;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Angle adjustable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Adjustable height armrests;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Expandable controller or nonstandard joystick (i.e., non-proportional or mini, compact or short throw proportional, or other alternative control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items are payable with a prior authorization, in accordance with </w:t>
      </w:r>
      <w:r>
        <w:rPr>
          <w:rFonts w:ascii="Times New Roman" w:hAnsi="Times New Roman"/>
          <w:b w:val="false"/>
          <w:i w:val="false"/>
          <w:color w:val="000000"/>
          <w:sz w:val="22"/>
        </w:rPr>
        <w:t>42 CFR 414.224</w:t>
      </w:r>
      <w:r>
        <w:rPr>
          <w:rFonts w:ascii="Times New Roman" w:hAnsi="Times New Roman"/>
          <w:b w:val="false"/>
          <w:i w:val="false"/>
          <w:color w:val="000000"/>
          <w:sz w:val="22"/>
        </w:rPr>
        <w:t xml:space="preserve">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Prosthetic devices mean replacement, corrective, or supportive devices prescribed by a physician (doctor of medicine, osteopathy or podiatry), PA, or ARNP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not covered when dispensed to a member prior to the time the member undergoes a procedure which will make necessary the use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prosthetic devices covered through the Medicaid program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delivery supplies and products. See subrule </w:t>
      </w:r>
      <w:hyperlink r:id="rId101">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See rule </w:t>
      </w:r>
      <w:hyperlink r:id="rId102">
        <w:r>
          <w:rPr>
            <w:rStyle w:val="Hyperlink"/>
            <w:rFonts w:ascii="Times New Roman" w:hAnsi="Times New Roman"/>
            <w:b w:val="false"/>
            <w:i w:val="false"/>
            <w:color w:val="000000"/>
            <w:sz w:val="22"/>
          </w:rPr>
          <w:t>441—78.14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Orthotic devices. See paragraph </w:t>
      </w:r>
      <w:hyperlink r:id="rId103">
        <w:r>
          <w:rPr>
            <w:rStyle w:val="Hyperlink"/>
            <w:rFonts w:ascii="Times New Roman" w:hAnsi="Times New Roman"/>
            <w:b w:val="false"/>
            <w:i w:val="false"/>
            <w:color w:val="000000"/>
            <w:sz w:val="22"/>
          </w:rPr>
          <w:t>78.10(3)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limitations on coverage of cranial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Prosthetic shoes, orthopedic shoes. See rule </w:t>
      </w:r>
      <w:hyperlink r:id="rId104">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Tracheotomy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Vibrotactile aids. Vibrotactile aids are payable only once in a four-year period unless the original aid is broken beyond repair or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Cranial orthotic device. Payment will be approved for cranial orthotic devices when the device is medically necessary for the postsurgical treatment of synostotic plagiocephaly. Payment shall also be approved when there is documentation supporting moderate to severe nonsynostotic positional plagiocephaly and meets minimum medical necessity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78.10(4)</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105">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medical supplies and supplies necessary for the effective use of a payable item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Active pharmaceutical ingredients and excipients identified as preferred on the preferred drug list published pursuant to Iowa Code section </w:t>
      </w:r>
      <w:hyperlink r:id="rId106">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xml:space="preserve">Diabetic supplies (including but not limited to blood glucose test strips, lancing devices, lancets, needles, syringes, and diabetic urine test supplies). See subrule </w:t>
      </w:r>
      <w:hyperlink r:id="rId10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Dialysis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Dressings.</w:t>
      </w:r>
    </w:p>
    <w:p>
      <w:pPr>
        <w:spacing w:before="0" w:after="0"/>
        <w:ind w:left="120"/>
        <w:jc w:val="both"/>
      </w:pPr>
      <w:r>
        <w:rPr>
          <w:rFonts w:ascii="Times New Roman" w:hAnsi="Times New Roman"/>
          <w:b w:val="false"/>
          <w:i w:val="false"/>
          <w:color w:val="000000"/>
          <w:sz w:val="22"/>
        </w:rPr>
        <w:t>Elastic antiembolism support stocking.</w:t>
      </w:r>
    </w:p>
    <w:p>
      <w:pPr>
        <w:spacing w:before="0" w:after="0"/>
        <w:ind w:left="120"/>
        <w:jc w:val="both"/>
      </w:pPr>
      <w:r>
        <w:rPr>
          <w:rFonts w:ascii="Times New Roman" w:hAnsi="Times New Roman"/>
          <w:b w:val="false"/>
          <w:i w:val="false"/>
          <w:color w:val="000000"/>
          <w:sz w:val="22"/>
        </w:rPr>
        <w:t>Enema.</w:t>
      </w:r>
    </w:p>
    <w:p>
      <w:pPr>
        <w:spacing w:before="0" w:after="0"/>
        <w:ind w:left="120"/>
        <w:jc w:val="both"/>
      </w:pPr>
      <w:r>
        <w:rPr>
          <w:rFonts w:ascii="Times New Roman" w:hAnsi="Times New Roman"/>
          <w:b w:val="false"/>
          <w:i w:val="false"/>
          <w:color w:val="000000"/>
          <w:sz w:val="22"/>
        </w:rPr>
        <w:t>Hearing aid batteries.</w:t>
      </w:r>
    </w:p>
    <w:p>
      <w:pPr>
        <w:spacing w:before="0" w:after="0"/>
        <w:ind w:left="120"/>
        <w:jc w:val="both"/>
      </w:pPr>
      <w:r>
        <w:rPr>
          <w:rFonts w:ascii="Times New Roman" w:hAnsi="Times New Roman"/>
          <w:b w:val="false"/>
          <w:i w:val="false"/>
          <w:color w:val="000000"/>
          <w:sz w:val="22"/>
        </w:rPr>
        <w:t>Incontinence products (for members three years of age and older).</w:t>
      </w:r>
    </w:p>
    <w:p>
      <w:pPr>
        <w:spacing w:before="0" w:after="0"/>
        <w:ind w:left="120"/>
        <w:jc w:val="both"/>
      </w:pPr>
      <w:r>
        <w:rPr>
          <w:rFonts w:ascii="Times New Roman" w:hAnsi="Times New Roman"/>
          <w:b w:val="false"/>
          <w:i w:val="false"/>
          <w:color w:val="000000"/>
          <w:sz w:val="22"/>
        </w:rPr>
        <w:t xml:space="preserve">Oral nutritional products. See subrule </w:t>
      </w:r>
      <w:hyperlink r:id="rId10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Respirator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Surgical supplies.</w:t>
      </w:r>
    </w:p>
    <w:p>
      <w:pPr>
        <w:spacing w:before="0" w:after="0"/>
        <w:ind w:left="120"/>
        <w:jc w:val="both"/>
      </w:pPr>
      <w:r>
        <w:rPr>
          <w:rFonts w:ascii="Times New Roman" w:hAnsi="Times New Roman"/>
          <w:b w:val="false"/>
          <w:i w:val="false"/>
          <w:color w:val="000000"/>
          <w:sz w:val="22"/>
        </w:rPr>
        <w:t>Urinary collection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types of medical supplies will be approved for payment for members receiving care in a nursing facility or an ICF/ID when prescribed by the physician, PA, or ARNP: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but not limited to lancing devices, lancets,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78.10(5)</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requirements. </w:t>
      </w:r>
      <w:r>
        <w:rPr>
          <w:rFonts w:ascii="Times New Roman" w:hAnsi="Times New Roman"/>
          <w:b w:val="false"/>
          <w:i w:val="false"/>
          <w:color w:val="000000"/>
          <w:sz w:val="22"/>
        </w:rPr>
        <w:t xml:space="preserve">Prior authorization pursuant to rule </w:t>
      </w:r>
      <w:hyperlink r:id="rId109">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 is required for some medical equipment and supplies. Refer to the department’s website for a list of items that require a prior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Payment will be approved for ambulance service if it is required by the recipient’s condition and the recipient is transported to the nearest hospital with appropriate facilities or to one in the same locality, from one hospital to another, to the patient’s home, to a nursing facility, or to a mental health access center. Payment for ambulance service to the nearest hospital for outpatient service will be approved only for emergency treatment. Ambulance service must be medically necessary and not merely for the convenience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Iowa Medicaid will determine that the ambulance transportation was medically necessary and that the condition of the patient precluded any other method of transportation. Payment can be made without the physician’s confirmation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admitted as a hospital inpatient or is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 information on file relating to the patient’s condition clearly indicates ambulance service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patient is transferred from one nursing home to another because of the closing of a facility or from a nursing home to a custodial home because the recipient no longer requires nursing care, the conditions of medical necessity and the distance requirements will not be applicable. Approval for transfer will be made by the department prior to the transfer. When such a transfer is made, the following rate schedule will apply:</w:t>
      </w:r>
    </w:p>
    <w:p>
      <w:pPr>
        <w:spacing w:before="0" w:after="0"/>
        <w:ind w:left="120"/>
        <w:jc w:val="both"/>
      </w:pPr>
      <w:r>
        <w:rPr>
          <w:rFonts w:ascii="Times New Roman" w:hAnsi="Times New Roman"/>
          <w:b w:val="false"/>
          <w:i w:val="false"/>
          <w:color w:val="000000"/>
          <w:sz w:val="22"/>
        </w:rPr>
        <w:t>One patient - normal allowance</w:t>
      </w:r>
    </w:p>
    <w:p>
      <w:pPr>
        <w:spacing w:before="0" w:after="0"/>
        <w:ind w:left="120"/>
        <w:jc w:val="both"/>
      </w:pPr>
      <w:r>
        <w:rPr>
          <w:rFonts w:ascii="Times New Roman" w:hAnsi="Times New Roman"/>
          <w:b w:val="false"/>
          <w:i w:val="false"/>
          <w:color w:val="000000"/>
          <w:sz w:val="22"/>
        </w:rPr>
        <w:t>Two patients - 3/4 normal allowance per patient</w:t>
      </w:r>
    </w:p>
    <w:p>
      <w:pPr>
        <w:spacing w:before="0" w:after="0"/>
        <w:ind w:left="120"/>
        <w:jc w:val="both"/>
      </w:pPr>
      <w:r>
        <w:rPr>
          <w:rFonts w:ascii="Times New Roman" w:hAnsi="Times New Roman"/>
          <w:b w:val="false"/>
          <w:i w:val="false"/>
          <w:color w:val="000000"/>
          <w:sz w:val="22"/>
        </w:rPr>
        <w:t>Three patients - 2/3 normal allowance per patient</w:t>
      </w:r>
    </w:p>
    <w:p>
      <w:pPr>
        <w:spacing w:before="0" w:after="0"/>
        <w:ind w:left="120"/>
        <w:jc w:val="both"/>
      </w:pPr>
      <w:r>
        <w:rPr>
          <w:rFonts w:ascii="Times New Roman" w:hAnsi="Times New Roman"/>
          <w:b w:val="false"/>
          <w:i w:val="false"/>
          <w:color w:val="000000"/>
          <w:sz w:val="22"/>
        </w:rPr>
        <w:t>Four patients - 5/8 normal allowance per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110">
        <w:r>
          <w:rPr>
            <w:rStyle w:val="Hyperlink"/>
            <w:rFonts w:ascii="Times New Roman" w:hAnsi="Times New Roman"/>
            <w:b w:val="false"/>
            <w:i w:val="false"/>
            <w:color w:val="000000"/>
            <w:sz w:val="22"/>
          </w:rPr>
          <w:t>441—paragraph 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ambulance service is called to provide ground ambulance transport, payment will be made only to one ambulance company. When a paramedic from one ambulance service joins a ground ambulance company already in transport, coverage is not available for the services and supplies provided by the paramedic.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“Behavioral health intervention”</w:t>
      </w:r>
      <w:r>
        <w:rPr>
          <w:rFonts w:ascii="Times New Roman" w:hAnsi="Times New Roman"/>
          <w:b w:val="false"/>
          <w:i w:val="false"/>
          <w:color w:val="000000"/>
          <w:sz w:val="22"/>
        </w:rPr>
        <w:t> </w:t>
      </w:r>
      <w:r>
        <w:rPr>
          <w:rFonts w:ascii="Times New Roman" w:hAnsi="Times New Roman"/>
          <w:b w:val="false"/>
          <w:i w:val="false"/>
          <w:color w:val="000000"/>
          <w:sz w:val="22"/>
        </w:rPr>
        <w:t>means skill-building services that focus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the mental and functional disabilities that negatively affect a member’s integration and stability in the community and quality of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a member’s health and well-being related to the member’s mental disorder by reducing or managing the symptoms or behaviors that prevent the member from functioning at the member’s best possible functional level;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 member’s mental health recovery and resilience through increasing the member’s ability to manage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practitioner of the healing arts”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“LPHA,”</w:t>
      </w:r>
      <w:r>
        <w:rPr>
          <w:rFonts w:ascii="Times New Roman" w:hAnsi="Times New Roman"/>
          <w:b w:val="false"/>
          <w:i w:val="false"/>
          <w:color w:val="000000"/>
          <w:sz w:val="22"/>
        </w:rPr>
        <w:t> </w:t>
      </w:r>
      <w:r>
        <w:rPr>
          <w:rFonts w:ascii="Times New Roman" w:hAnsi="Times New Roman"/>
          <w:b w:val="false"/>
          <w:i w:val="false"/>
          <w:color w:val="000000"/>
          <w:sz w:val="22"/>
        </w:rPr>
        <w:t>as used in this rule, means a practitioner such as a physician (M.D. or D.O.), a PA, an ARNP, a psychologist, a social worker (LMSW or LISW), a marital and family therapist (LMFT), or a mental health counselor (LMHC) who is licensed by the applicable state authority for that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1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disorder”</w:t>
      </w:r>
      <w:r>
        <w:rPr>
          <w:rFonts w:ascii="Times New Roman" w:hAnsi="Times New Roman"/>
          <w:b w:val="false"/>
          <w:i w:val="false"/>
          <w:color w:val="000000"/>
          <w:sz w:val="22"/>
        </w:rPr>
        <w:t> </w:t>
      </w:r>
      <w:r>
        <w:rPr>
          <w:rFonts w:ascii="Times New Roman" w:hAnsi="Times New Roman"/>
          <w:b w:val="false"/>
          <w:i w:val="false"/>
          <w:color w:val="000000"/>
          <w:sz w:val="22"/>
        </w:rPr>
        <w:t>means a disorder, dysfunction, or dysphoria diagnosed pursuant to the Diagnostic and Statistical Manual of Mental Disorders published by the American Psychiatric Association as amended to July 1, 2026, excluding intellectual disabilities, personality disorders, medication-induced movement disorders and other adverse effects of medication, and other conditions that may be a focus of clinical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behavioral health intervention is available to members eligible for foster group care payment pursuant to </w:t>
      </w:r>
      <w:hyperlink r:id="rId112">
        <w:r>
          <w:rPr>
            <w:rStyle w:val="Hyperlink"/>
            <w:rFonts w:ascii="Times New Roman" w:hAnsi="Times New Roman"/>
            <w:b w:val="false"/>
            <w:i w:val="false"/>
            <w:color w:val="000000"/>
            <w:sz w:val="22"/>
          </w:rPr>
          <w:t>441—subrule 156.20(1)</w:t>
        </w:r>
      </w:hyperlink>
      <w:r>
        <w:rPr>
          <w:rFonts w:ascii="Times New Roman" w:hAnsi="Times New Roman"/>
          <w:b w:val="false"/>
          <w:i w:val="false"/>
          <w:color w:val="000000"/>
          <w:sz w:val="22"/>
        </w:rPr>
        <w:t>. Services have the primary goal of assisting the member to prepare to transition to the community through learning age-appropriate skills to manage behavior and regain or retain self-control. Specific services offered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 is not covered for members who are in an acute care or psychiatric hospital, a long-term care facility, or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w:t>
      </w:r>
      <w:r>
        <w:rPr>
          <w:rFonts w:ascii="Times New Roman" w:hAnsi="Times New Roman"/>
          <w:b w:val="false"/>
          <w:i w:val="false"/>
          <w:color w:val="000000"/>
          <w:sz w:val="22"/>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assist a member to regain self-control and reestablish effective management of behavioral symptoms associated with a psychological disorder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is covered only for Medicaid members who are aged 20 or under and shall be provided as outlined in a written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intervention services do not include control room or other restraint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intervention. </w:t>
      </w:r>
      <w:r>
        <w:rPr>
          <w:rFonts w:ascii="Times New Roman" w:hAnsi="Times New Roman"/>
          <w:b w:val="false"/>
          <w:i w:val="false"/>
          <w:color w:val="000000"/>
          <w:sz w:val="22"/>
        </w:rPr>
        <w:t>Behavior intervention includes services designed to modify the psychological, behavioral, emotional, cognitive, and social factors affecting a member’s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Interventions may address the following skills for effective functioning with family, peers, and community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Cognitive flexibility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regulation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Executive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 intervention shall be provided in a location appropriate for skill identification, teaching and development. Intervention may be provided in an individual, family, or group format as appropriate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 intervention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Covered services include only direct teaching or development of skills and not general recreation, non-skill-based activities, mentoring, or interruption of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w:t>
      </w:r>
      <w:r>
        <w:rPr>
          <w:rFonts w:ascii="Times New Roman" w:hAnsi="Times New Roman"/>
          <w:b w:val="false"/>
          <w:i w:val="false"/>
          <w:color w:val="000000"/>
          <w:sz w:val="22"/>
        </w:rPr>
        <w:t>Family training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Family training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Enhance the family’s ability to effectively interact with the child and support the child’s functioning in the home and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Teach parents to identify and implement strategies to reduce target behaviors and reinforce the appropriate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provided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for the direct benefit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based on a curriculum with a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Skill training and development. </w:t>
      </w:r>
      <w:r>
        <w:rPr>
          <w:rFonts w:ascii="Times New Roman" w:hAnsi="Times New Roman"/>
          <w:b w:val="false"/>
          <w:i w:val="false"/>
          <w:color w:val="000000"/>
          <w:sz w:val="22"/>
        </w:rPr>
        <w:t>Skill training and development services are covered for Medicaid members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shall consist of interventions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Enhance a member’s independent living, social, and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Minimize or eliminate psychological barriers to a member’s ability to effectively manage symptoms associated with a psychological disorder;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Maximize a member’s ability to live and participate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may include training in the following skills for effective functioning with family, peers,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Employment-related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 habilitative in nature are not covered as behavioral health interventions.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day care, education, and recreation services are not covered as behavioral health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requirements. </w:t>
      </w:r>
      <w:r>
        <w:rPr>
          <w:rFonts w:ascii="Times New Roman" w:hAnsi="Times New Roman"/>
          <w:b w:val="false"/>
          <w:i w:val="false"/>
          <w:color w:val="000000"/>
          <w:sz w:val="22"/>
        </w:rPr>
        <w:t>Medicaid covers behavioral health intervention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practitioner of the healing arts acting within the practitioner’s scope of practice under state law has diagnosed the member with a psychological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must meet specific individual goals that are focused to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of harm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Behavioral support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skills impaired due to the member’s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of children at risk of out-of-home placement due to mental health needs or the transition back to the community or home following an out-of-home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plan development are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member under the age of 21,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in cooperation with the managed care contractor, selected a standardized assessment instrument appropriate for baseline measurement of the member’s current skill level in managing mental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an initial formal assessment of the member using the instrument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Completes a formal assessment every six months thereafter if continued services are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behavioral health intervention provider has prepared a written services implementation plan that meets the requirements of subrule </w:t>
      </w:r>
      <w:hyperlink r:id="rId113">
        <w:r>
          <w:rPr>
            <w:rStyle w:val="Hyperlink"/>
            <w:rFonts w:ascii="Times New Roman" w:hAnsi="Times New Roman"/>
            <w:b w:val="false"/>
            <w:i w:val="false"/>
            <w:color w:val="000000"/>
            <w:sz w:val="22"/>
          </w:rPr>
          <w:t>78.12(5)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behavioral health intervention provider shall contact the member’s managed care plan for authorization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plan. </w:t>
      </w:r>
      <w:r>
        <w:rPr>
          <w:rFonts w:ascii="Times New Roman" w:hAnsi="Times New Roman"/>
          <w:b w:val="false"/>
          <w:i w:val="false"/>
          <w:color w:val="000000"/>
          <w:sz w:val="22"/>
        </w:rPr>
        <w:t>The initial services implementation plan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conforms to the medical necessity requirements in subrule </w:t>
      </w:r>
      <w:hyperlink r:id="rId114">
        <w:r>
          <w:rPr>
            <w:rStyle w:val="Hyperlink"/>
            <w:rFonts w:ascii="Times New Roman" w:hAnsi="Times New Roman"/>
            <w:b w:val="false"/>
            <w:i w:val="false"/>
            <w:color w:val="000000"/>
            <w:sz w:val="22"/>
          </w:rPr>
          <w:t>78.12(6)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consistent with the written diagnosis and treatment recommendations made by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meets the requirements of rule </w:t>
      </w:r>
      <w:hyperlink r:id="rId115">
        <w:r>
          <w:rPr>
            <w:rStyle w:val="Hyperlink"/>
            <w:rFonts w:ascii="Times New Roman" w:hAnsi="Times New Roman"/>
            <w:b w:val="false"/>
            <w:i w:val="false"/>
            <w:color w:val="000000"/>
            <w:sz w:val="22"/>
          </w:rPr>
          <w:t>441—77.13</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does not exceed six months’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plans. </w:t>
      </w:r>
      <w:r>
        <w:rPr>
          <w:rFonts w:ascii="Times New Roman" w:hAnsi="Times New Roman"/>
          <w:b w:val="false"/>
          <w:i w:val="false"/>
          <w:color w:val="000000"/>
          <w:sz w:val="22"/>
        </w:rPr>
        <w:t xml:space="preserve">The member’s managed care plan may approve a subsequent services implementation plan according to the conditions in paragraph </w:t>
      </w:r>
      <w:hyperlink r:id="rId116">
        <w:r>
          <w:rPr>
            <w:rStyle w:val="Hyperlink"/>
            <w:rFonts w:ascii="Times New Roman" w:hAnsi="Times New Roman"/>
            <w:b w:val="false"/>
            <w:i w:val="false"/>
            <w:color w:val="000000"/>
            <w:sz w:val="22"/>
          </w:rPr>
          <w:t>78.12(5)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services are recommended by a licensed practitioner of the healing arts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Reexamined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the original diagnosis and treatment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Evaluated the member’s progress, including a formal assessment as required by subparagraph </w:t>
      </w:r>
      <w:hyperlink r:id="rId117">
        <w:r>
          <w:rPr>
            <w:rStyle w:val="Hyperlink"/>
            <w:rFonts w:ascii="Times New Roman" w:hAnsi="Times New Roman"/>
            <w:b w:val="false"/>
            <w:i w:val="false"/>
            <w:color w:val="000000"/>
            <w:sz w:val="22"/>
          </w:rPr>
          <w:t>78.12(4)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78.12(6)</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 and specific to a daily impairment caused by a mental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evidence-based medical practice. The standards of practice for each field of medical and remedial care covered by the Iowa Medicaid program are those standards of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evidence-based practices in the field.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441—78.13</w:t>
      </w:r>
      <w:r>
        <w:rPr>
          <w:rFonts w:ascii="Times New Roman" w:hAnsi="Times New Roman"/>
          <w:b/>
          <w:i w:val="false"/>
          <w:color w:val="000000"/>
          <w:sz w:val="22"/>
        </w:rPr>
        <w:t xml:space="preserve">(249A) </w:t>
      </w:r>
      <w:r>
        <w:rPr>
          <w:rFonts w:ascii="Times New Roman" w:hAnsi="Times New Roman"/>
          <w:b/>
          <w:i w:val="false"/>
          <w:color w:val="000000"/>
          <w:sz w:val="22"/>
        </w:rPr>
        <w:t xml:space="preserve">Nonemergency medical transportation. </w:t>
      </w:r>
      <w:r>
        <w:rPr>
          <w:rFonts w:ascii="Times New Roman" w:hAnsi="Times New Roman"/>
          <w:b w:val="false"/>
          <w:i w:val="false"/>
          <w:color w:val="000000"/>
          <w:sz w:val="22"/>
        </w:rPr>
        <w:t>The department makes available nonemergency medical transportation through a transportation brokerage. Medicaid members who are eligible for full Medicaid benefits and need transportation services so they can receive Medicaid-covered services from providers enrolled with the Iowa Medicaid program may obtain transportation services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Nonemergency medical transportation services available are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the member, if the member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a volunteer or other responsible person, if the volunteer or other responsible person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Taxi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transportation when public transportation is reasonably available and the member’s condition does not preclude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Wheelchair and stretcher vans.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Airfare costs when the most appropriate mode of transport is by air, based on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for costs of the member’s meals necessary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lodging expenses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Reimbursement of car rental costs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Reimbursement of a medically necessary escort’s travel expenses when an escort is required because of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Nonemergency medical transportation is not available through the Iowa Medicaid program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to obtain services not covered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to providers that are not enrolled in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for members residing in nursing facilities or ICF/ID facilities when such facilities provide the transportation (i.e., within 30 miles, one way,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of family members to visit or participate in therapy when the member is hospitalized or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to DME providers when such providers offer a delivery service that can be accessed at no cost to the member, unless the equipment requires a fitting that cannot be provided without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to HCBS and Medicaid providers for transportation provided as part of other covered services, such as personal care, home health, and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to a pharmacy that provides a free delivery service, with the exception of new prescription fills that are otherwise not available to the patient in the absence of nonemergency medical transportation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color w:val="000000"/>
          <w:sz w:val="22"/>
        </w:rPr>
        <w:t xml:space="preserve">Conditions and limitations on covered services. </w:t>
      </w:r>
      <w:r>
        <w:rPr>
          <w:rFonts w:ascii="Times New Roman" w:hAnsi="Times New Roman"/>
          <w:b w:val="false"/>
          <w:i w:val="false"/>
          <w:color w:val="000000"/>
          <w:sz w:val="22"/>
        </w:rPr>
        <w:t>Nonemergency medical transportation services are subject to the following limitations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request. </w:t>
      </w:r>
      <w:r>
        <w:rPr>
          <w:rFonts w:ascii="Times New Roman" w:hAnsi="Times New Roman"/>
          <w:b w:val="false"/>
          <w:i w:val="false"/>
          <w:color w:val="000000"/>
          <w:sz w:val="22"/>
        </w:rPr>
        <w:t>When a member needs nonemergency transportation to receive medical care provided by the Iowa Medicaid program, the member must contact the broker with as much advance notice as possible, but not more than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Postsurgical or medical follow-up care specified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Unexpected preoperative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discharges;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Appointments for new medical conditions or tests;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two-business-day advance notice obligation does not apply when the member requests only mileage reimbursement. To be eligible for mileage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must notify the broker no later than the day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transportation must be provided by a driver with a valid driver’s license and insurance coverage on the vehicle at the time of the transport;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other requirements of rule </w:t>
      </w:r>
      <w:hyperlink r:id="rId118">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free transportation alternatives available. </w:t>
      </w:r>
      <w:r>
        <w:rPr>
          <w:rFonts w:ascii="Times New Roman" w:hAnsi="Times New Roman"/>
          <w:b w:val="false"/>
          <w:i w:val="false"/>
          <w:color w:val="000000"/>
          <w:sz w:val="22"/>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member transportation alternatives available. </w:t>
      </w:r>
      <w:r>
        <w:rPr>
          <w:rFonts w:ascii="Times New Roman" w:hAnsi="Times New Roman"/>
          <w:b w:val="false"/>
          <w:i w:val="false"/>
          <w:color w:val="000000"/>
          <w:sz w:val="22"/>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member owns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member-owned vehicle is in working mechanical order and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a valid driver’s license and auto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member is unable to drive because of age, physical condition, cognitive impairment, or developmental limitations;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friends or family are available to transport the member to the member’s medical appointment and receive mileage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meals. </w:t>
      </w:r>
      <w:r>
        <w:rPr>
          <w:rFonts w:ascii="Times New Roman" w:hAnsi="Times New Roman"/>
          <w:b w:val="false"/>
          <w:i w:val="false"/>
          <w:color w:val="000000"/>
          <w:sz w:val="22"/>
        </w:rPr>
        <w:t>Reimbursement for costs of members’ meals necessary during periods of transportation and medical treatment is limited to situations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transportation being provided spans the entire meal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one-way distance to or from the medical appointment is more than 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meal is necessary to satisfy the needs of the member or medically necessary escort;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meal reimbursement is limited to the subsistence allowance amounts applicable to state officers and state employees pursuant to rule </w:t>
      </w:r>
      <w:hyperlink r:id="rId119">
        <w:r>
          <w:rPr>
            <w:rStyle w:val="Hyperlink"/>
            <w:rFonts w:ascii="Times New Roman" w:hAnsi="Times New Roman"/>
            <w:b w:val="false"/>
            <w:i w:val="false"/>
            <w:color w:val="000000"/>
            <w:sz w:val="22"/>
          </w:rPr>
          <w:t>11—41.6</w:t>
        </w:r>
      </w:hyperlink>
      <w:r>
        <w:rPr>
          <w:rFonts w:ascii="Times New Roman" w:hAnsi="Times New Roman"/>
          <w:b w:val="false"/>
          <w:i w:val="false"/>
          <w:color w:val="000000"/>
          <w:sz w:val="22"/>
        </w:rPr>
        <w:t>(8A) and is supported by detailed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lodging expenses. </w:t>
      </w:r>
      <w:r>
        <w:rPr>
          <w:rFonts w:ascii="Times New Roman" w:hAnsi="Times New Roman"/>
          <w:b w:val="false"/>
          <w:i w:val="false"/>
          <w:color w:val="000000"/>
          <w:sz w:val="22"/>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Closest medical provider. </w:t>
      </w:r>
      <w:r>
        <w:rPr>
          <w:rFonts w:ascii="Times New Roman" w:hAnsi="Times New Roman"/>
          <w:b w:val="false"/>
          <w:i w:val="false"/>
          <w:color w:val="000000"/>
          <w:sz w:val="22"/>
        </w:rPr>
        <w:t xml:space="preserve">Nonemergency medical transportation will only be provided to members to the closest qualified and enrolled Medicaid provider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closest qualified and enrolled Medicaid provider and the enrolled provider requested by the member is less than 10 miles one way;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additional cost of transportation to the enrolled provider requested by the member is medically justified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previous relationship with the requested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prior experience with the requested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requested provider’s special expertise or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referral requiring the member to be seen by the requested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Member scheduling obligations. </w:t>
      </w:r>
      <w:r>
        <w:rPr>
          <w:rFonts w:ascii="Times New Roman" w:hAnsi="Times New Roman"/>
          <w:b w:val="false"/>
          <w:i w:val="false"/>
          <w:color w:val="000000"/>
          <w:sz w:val="22"/>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Abusive behavior. </w:t>
      </w:r>
      <w:r>
        <w:rPr>
          <w:rFonts w:ascii="Times New Roman" w:hAnsi="Times New Roman"/>
          <w:b w:val="false"/>
          <w:i w:val="false"/>
          <w:color w:val="000000"/>
          <w:sz w:val="22"/>
        </w:rPr>
        <w:t>Members who are abusive or inappropriate may be restricted by the department to only receiving mileage reimbursement. Such restricted members will be responsible for finding their own way to their medical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Member claim submission. </w:t>
      </w:r>
      <w:r>
        <w:rPr>
          <w:rFonts w:ascii="Times New Roman" w:hAnsi="Times New Roman"/>
          <w:b w:val="false"/>
          <w:i w:val="false"/>
          <w:color w:val="000000"/>
          <w:sz w:val="22"/>
        </w:rPr>
        <w:t>Members must submit claims and supporting documentation to the broker within 120 days of the date of service. The broker shall deny member claims submitted more than 120 days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78.13(4)</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r>
        <w:rPr>
          <w:rFonts w:ascii="Times New Roman" w:hAnsi="Times New Roman"/>
          <w:b w:val="false"/>
          <w:i w:val="false"/>
          <w:color w:val="000000"/>
          <w:sz w:val="22"/>
        </w:rPr>
        <w:t>The broker shall establish an internal grievance procedure for members and 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may appeal to the department pursuant to </w:t>
      </w:r>
      <w:hyperlink r:id="rId12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as an “aggrieved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for state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12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no state fair hearing will be granted unless the transportation provider submits a document providing such member approval with the request for a state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transportation provider grievances not addressed by paragraph </w:t>
      </w:r>
      <w:hyperlink r:id="rId122">
        <w:r>
          <w:rPr>
            <w:rStyle w:val="Hyperlink"/>
            <w:rFonts w:ascii="Times New Roman" w:hAnsi="Times New Roman"/>
            <w:b w:val="false"/>
            <w:i w:val="false"/>
            <w:color w:val="000000"/>
            <w:sz w:val="22"/>
          </w:rPr>
          <w:t>78.13(4)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grievance process shall end with binding arbitration, with a designee of Iowa Medicaid as arbitrator.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441—78.14</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aids. </w:t>
      </w:r>
      <w:r>
        <w:rPr>
          <w:rFonts w:ascii="Times New Roman" w:hAnsi="Times New Roman"/>
          <w:b w:val="false"/>
          <w:i w:val="false"/>
          <w:color w:val="000000"/>
          <w:sz w:val="22"/>
        </w:rPr>
        <w:t>Payment will be approved for a hearing aid and examinations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color w:val="000000"/>
          <w:sz w:val="22"/>
        </w:rPr>
        <w:t xml:space="preserve">Physician examination. </w:t>
      </w:r>
      <w:r>
        <w:rPr>
          <w:rFonts w:ascii="Times New Roman" w:hAnsi="Times New Roman"/>
          <w:b w:val="false"/>
          <w:i w:val="false"/>
          <w:color w:val="000000"/>
          <w:sz w:val="22"/>
        </w:rPr>
        <w:t>The member shall have an examination by a physician to determine that the member has no condition that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advised that it may be in the member’s best health interest to receive a medical evaluation from a licensed physician before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wish to receive a medical evaluation prior to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color w:val="000000"/>
          <w:sz w:val="22"/>
        </w:rPr>
        <w:t xml:space="preserve">Audiological testings. </w:t>
      </w:r>
      <w:r>
        <w:rPr>
          <w:rFonts w:ascii="Times New Roman" w:hAnsi="Times New Roman"/>
          <w:b w:val="false"/>
          <w:i w:val="false"/>
          <w:color w:val="000000"/>
          <w:sz w:val="22"/>
        </w:rPr>
        <w:t>A physician or an audiologist shall perform audiological testing as a part of making a determination that a member could benefit from the use of a hearing aid. The department will cover vestibular testing performed by an audiologist only when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color w:val="000000"/>
          <w:sz w:val="22"/>
        </w:rPr>
        <w:t xml:space="preserve">Hearing aid evaluation. </w:t>
      </w:r>
      <w:r>
        <w:rPr>
          <w:rFonts w:ascii="Times New Roman" w:hAnsi="Times New Roman"/>
          <w:b w:val="false"/>
          <w:i w:val="false"/>
          <w:color w:val="000000"/>
          <w:sz w:val="22"/>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color w:val="000000"/>
          <w:sz w:val="22"/>
        </w:rPr>
        <w:t xml:space="preserve">Hearing aid selection. </w:t>
      </w:r>
      <w:r>
        <w:rPr>
          <w:rFonts w:ascii="Times New Roman" w:hAnsi="Times New Roman"/>
          <w:b w:val="false"/>
          <w:i w:val="false"/>
          <w:color w:val="000000"/>
          <w:sz w:val="22"/>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78.14(5)</w:t>
      </w:r>
      <w:r>
        <w:rPr>
          <w:rFonts w:ascii="Times New Roman" w:hAnsi="Times New Roman"/>
          <w:b w:val="false"/>
          <w:i w:val="false"/>
          <w:color w:val="000000"/>
          <w:sz w:val="22"/>
        </w:rPr>
        <w:t> </w:t>
      </w:r>
      <w:r>
        <w:rPr>
          <w:rFonts w:ascii="Times New Roman" w:hAnsi="Times New Roman"/>
          <w:b w:val="false"/>
          <w:i/>
          <w:color w:val="000000"/>
          <w:sz w:val="22"/>
        </w:rPr>
        <w:t xml:space="preserve">Travel. </w:t>
      </w:r>
      <w:r>
        <w:rPr>
          <w:rFonts w:ascii="Times New Roman" w:hAnsi="Times New Roman"/>
          <w:b w:val="false"/>
          <w:i w:val="false"/>
          <w:color w:val="000000"/>
          <w:sz w:val="22"/>
        </w:rPr>
        <w:t xml:space="preserve">When a member is unable to travel to the physician or audiologist because of health reasons, the department will make payment for travel to the member’s place of residence or other suitable location. The department will make payment to physicians as specified in </w:t>
      </w:r>
      <w:hyperlink r:id="rId123">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and payment to audiologists at the same rate it reimburses state employees for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78.14(6)</w:t>
      </w:r>
      <w:r>
        <w:rPr>
          <w:rFonts w:ascii="Times New Roman" w:hAnsi="Times New Roman"/>
          <w:b w:val="false"/>
          <w:i w:val="false"/>
          <w:color w:val="000000"/>
          <w:sz w:val="22"/>
        </w:rPr>
        <w:t> </w:t>
      </w:r>
      <w:r>
        <w:rPr>
          <w:rFonts w:ascii="Times New Roman" w:hAnsi="Times New Roman"/>
          <w:b w:val="false"/>
          <w:i/>
          <w:color w:val="000000"/>
          <w:sz w:val="22"/>
        </w:rPr>
        <w:t xml:space="preserve">Purchase of hearing aid. </w:t>
      </w:r>
      <w:r>
        <w:rPr>
          <w:rFonts w:ascii="Times New Roman" w:hAnsi="Times New Roman"/>
          <w:b w:val="false"/>
          <w:i w:val="false"/>
          <w:color w:val="000000"/>
          <w:sz w:val="22"/>
        </w:rPr>
        <w:t xml:space="preserve">The department will pay for the type of hearing aid recommended when purchased from an eligible licensed hearing aid dispenser pursuant to rule </w:t>
      </w:r>
      <w:hyperlink r:id="rId124">
        <w:r>
          <w:rPr>
            <w:rStyle w:val="Hyperlink"/>
            <w:rFonts w:ascii="Times New Roman" w:hAnsi="Times New Roman"/>
            <w:b w:val="false"/>
            <w:i w:val="false"/>
            <w:color w:val="000000"/>
            <w:sz w:val="22"/>
          </w:rPr>
          <w:t>441—77.14</w:t>
        </w:r>
      </w:hyperlink>
      <w:r>
        <w:rPr>
          <w:rFonts w:ascii="Times New Roman" w:hAnsi="Times New Roman"/>
          <w:b w:val="false"/>
          <w:i w:val="false"/>
          <w:color w:val="000000"/>
          <w:sz w:val="22"/>
        </w:rPr>
        <w:t>(249A). The department will pay for binaural amplification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needs the aid for speech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aid is needed for educational or vocational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aid is for a blind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member’s hearing loss has caused marked restriction of daily activities and constriction of interests resulting in seriously impaired ability to relate to other people,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Lack of binaural amplification poses a hazard to a member’s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78.14(7)</w:t>
      </w:r>
      <w:r>
        <w:rPr>
          <w:rFonts w:ascii="Times New Roman" w:hAnsi="Times New Roman"/>
          <w:b w:val="false"/>
          <w:i w:val="false"/>
          <w:color w:val="000000"/>
          <w:sz w:val="22"/>
        </w:rPr>
        <w:t> </w:t>
      </w:r>
      <w:r>
        <w:rPr>
          <w:rFonts w:ascii="Times New Roman" w:hAnsi="Times New Roman"/>
          <w:b w:val="false"/>
          <w:i/>
          <w:color w:val="000000"/>
          <w:sz w:val="22"/>
        </w:rPr>
        <w:t xml:space="preserve">Payment for hearing aids.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for hearing aids will be acquisition cost plus a dispensing fee covering the fitting and service for six months. The department will make payment for routine service after the first six months. Dispensing fees and payment for routine service shall not exceed the fee schedule appropriate to the place of service. Shipping and handling charges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ear mold and batteries will be at the current audiologist’s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repairs will be made to the dealer for repairs made by the dealer. Payment for in-house repairs will be made at the current fee schedule. Payment will also be made to the dealer for repairs when the hearing aid is repaired by the manufacturer or manufacturer’s depot. Payment for out-of-house repairs will be at the amount shown on the manufacturer’s invoice. Payment will be allowed for a service or handling charge when it is necessary for repairs to be performed by the manufacturer or manufacturer’s depot and this charge is made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When prior approval is required, an Examiner Report of Need for a Hearing Aid form shall be submitted along with the forms required by </w:t>
      </w:r>
      <w:hyperlink r:id="rId125">
        <w:r>
          <w:rPr>
            <w:rStyle w:val="Hyperlink"/>
            <w:rFonts w:ascii="Times New Roman" w:hAnsi="Times New Roman"/>
            <w:b w:val="false"/>
            <w:i w:val="false"/>
            <w:color w:val="000000"/>
            <w:sz w:val="22"/>
          </w:rPr>
          <w:t>441—paragraph 79.8(1)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Payment for the replacement of a hearing aid less than four years old will require prior approval except when the member is under 21 years of age. The department will approve payment when the original hearing aid is lost or broken beyond repair or there is a significant change in the member’s hearing that would require a different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for a hearing aid costing more than $650 will require prior approval. The department will approve payment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441—78.15</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shoes. </w:t>
      </w:r>
      <w:r>
        <w:rPr>
          <w:rFonts w:ascii="Times New Roman" w:hAnsi="Times New Roman"/>
          <w:b w:val="false"/>
          <w:i w:val="false"/>
          <w:color w:val="000000"/>
          <w:sz w:val="22"/>
        </w:rPr>
        <w:t>Payment will be approved only for depth or custom-molded orthopedic shoes, inserts, and modifications, subject to the following definitions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“Custom-molded shoe”</w:t>
      </w:r>
      <w:r>
        <w:rPr>
          <w:rFonts w:ascii="Times New Roman" w:hAnsi="Times New Roman"/>
          <w:b w:val="false"/>
          <w:i w:val="false"/>
          <w:color w:val="000000"/>
          <w:sz w:val="22"/>
        </w:rPr>
        <w:t>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constructed over a cast or model of the recipient’s foot;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of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inserts that can be removed, altered, or replaced according to the recipient’s conditions and needs;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some form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“Depth shoe”</w:t>
      </w:r>
      <w:r>
        <w:rPr>
          <w:rFonts w:ascii="Times New Roman" w:hAnsi="Times New Roman"/>
          <w:b w:val="false"/>
          <w:i w:val="false"/>
          <w:color w:val="000000"/>
          <w:sz w:val="22"/>
        </w:rPr>
        <w:t>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full length, heel-to-toe filler that when removed provides a minimum of 3/16 inch of additional depth used to accommodate custom-molded or customized inserts;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from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some form of closure;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available in full and half sizes with a minimum of three widths, so that the sole is graded to the size and width of the upper portions of the shoe according to the American Standard last sizing schedule as amended to July 1, 2026,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“Insert”</w:t>
      </w:r>
      <w:r>
        <w:rPr>
          <w:rFonts w:ascii="Times New Roman" w:hAnsi="Times New Roman"/>
          <w:b w:val="false"/>
          <w:i w:val="false"/>
          <w:color w:val="000000"/>
          <w:sz w:val="22"/>
        </w:rPr>
        <w:t> </w:t>
      </w:r>
      <w:r>
        <w:rPr>
          <w:rFonts w:ascii="Times New Roman" w:hAnsi="Times New Roman"/>
          <w:b w:val="false"/>
          <w:i w:val="false"/>
          <w:color w:val="000000"/>
          <w:sz w:val="22"/>
        </w:rPr>
        <w:t>means a foot mold or orthosis constructed of more than one layer of a material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soft enough and firm enough to take and hold an impression during use,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molded to the recipient’s foot or is made over a model of the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Prescription. </w:t>
      </w:r>
      <w:r>
        <w:rPr>
          <w:rFonts w:ascii="Times New Roman" w:hAnsi="Times New Roman"/>
          <w:b w:val="false"/>
          <w:i w:val="false"/>
          <w:color w:val="000000"/>
          <w:sz w:val="22"/>
        </w:rPr>
        <w:t>The recipient shall present to the provider a written prescription by a physician, a podiatrist, a PA, or an ARNP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 orthopedic shoes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probable duration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any required modification of the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recipient shall have a diagnosis of an orthopedic, neuromuscular, vascular, or insensate foot condition, supported by applicable codes from the International Classification of Diseases (ICD) as amended to July 1, 2026. A diagnosis of flat feet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with diabetes must meet the Medicare criteria for therapeutic depth and custom-molded shoes.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Custom-molded shoes are covered only when the recipient has a foot deformity and the provider has documentation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the recipient cannot be fitted with a depth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breakdown or a high probability of tissue breakdown.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limitation on walking.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2"/>
        </w:rPr>
        <w:t>EXCEPTION</w:t>
      </w:r>
      <w:r>
        <w:rPr>
          <w:rFonts w:ascii="Times New Roman" w:hAnsi="Times New Roman"/>
          <w:b w:val="false"/>
          <w:i w:val="false"/>
          <w:color w:val="000000"/>
          <w:sz w:val="22"/>
        </w:rPr>
        <w:t>: School-aged children under the age of 21 may obtain athletic shoes in addition to the two pairs of shoes in a 12-month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126">
        <w:r>
          <w:rPr>
            <w:rStyle w:val="Hyperlink"/>
            <w:rFonts w:ascii="Times New Roman" w:hAnsi="Times New Roman"/>
            <w:b w:val="false"/>
            <w:i w:val="false"/>
            <w:color w:val="000000"/>
            <w:sz w:val="22"/>
          </w:rPr>
          <w:t>78.16(1)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by staff psychiatrists,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rendered by psychologists meeting the requirements of the National Register of Health Service Providers in Psychology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staff member listed in this subrule performing the preliminary diagnostic evaluation of a member for voluntary admission to one of the state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Supervisory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patient shall have an initial evaluation completed that shall include at least one personal evaluation interview with a mental health professional, as defined under Iowa Code section </w:t>
      </w:r>
      <w:hyperlink r:id="rId127">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2"/>
        </w:rPr>
        <w:t>2002 Iowa Acts, chapter 1120, section 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plans for and services rendered to patients of the center shall be evaluated and revised as necessary and appropriate, consistent with the standards of the peer review process described in subparagraph </w:t>
      </w:r>
      <w:hyperlink r:id="rId128">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 process and related activities, as described under subparagraph </w:t>
      </w:r>
      <w:hyperlink r:id="rId129">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are not payable as separate services under the Medicaid program. The center shall maintain the results of and information related to the peer review process, and these records shall be subject to audit by the department or its designees,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val="false"/>
          <w:color w:val="000000"/>
          <w:sz w:val="22"/>
        </w:rPr>
        <w:t>Clinical records of medical assistance patients shall be available to the carrier on request. All these records shall be held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 providing day treatment services for persons aged 21 or over shall have available a written narrative providing the following day treatment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21 and over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21 and over that meet the day treatment program guidelines noted in </w:t>
      </w:r>
      <w:hyperlink r:id="rId130">
        <w:r>
          <w:rPr>
            <w:rStyle w:val="Hyperlink"/>
            <w:rFonts w:ascii="Times New Roman" w:hAnsi="Times New Roman"/>
            <w:b w:val="false"/>
            <w:i w:val="false"/>
            <w:color w:val="000000"/>
            <w:sz w:val="22"/>
          </w:rPr>
          <w:t>78.16(6)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 treatment services for persons aged 21 and over shall be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day treatment services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member care. The supervision shall be timely, regular, and documented. The employee or consultant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 related field from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Iowa license to practice as a registered nurse with two years of experience in the delivery of nursing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aged 18 through 20 with chronic mental illness as defined by rule </w:t>
      </w:r>
      <w:hyperlink r:id="rId131">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(225A) can receive day treatment services under this subrule or subrule </w:t>
      </w:r>
      <w:hyperlink r:id="rId132">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ind w:left="120"/>
        <w:jc w:val="both"/>
      </w:pPr>
      <w:r>
        <w:rPr>
          <w:rFonts w:ascii="Times New Roman" w:hAnsi="Times New Roman"/>
          <w:b w:val="false"/>
          <w:i w:val="false"/>
          <w:color w:val="000000"/>
          <w:sz w:val="22"/>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33">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r>
        <w:rPr>
          <w:rFonts w:ascii="Times New Roman" w:hAnsi="Times New Roman"/>
          <w:b w:val="false"/>
          <w:i w:val="false"/>
          <w:color w:val="000000"/>
          <w:sz w:val="22"/>
        </w:rPr>
        <w:t>Community mental health centers providing day treatment services for persons aged 20 or under shall have available a written narrative that provides the following day treatment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20 or under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20 or under that meet the guidelines noted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standards. </w:t>
      </w:r>
      <w:r>
        <w:rPr>
          <w:rFonts w:ascii="Times New Roman" w:hAnsi="Times New Roman"/>
          <w:b w:val="false"/>
          <w:i w:val="false"/>
          <w:color w:val="000000"/>
          <w:sz w:val="22"/>
        </w:rPr>
        <w:t>Medicaid day treatment program services for persons aged 20 and under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3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Reflect how program continuity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Reflect an interdisciplinary team of professionals and paraprofessionals.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designated director who is a mental health professional as defined in rule </w:t>
      </w:r>
      <w:hyperlink r:id="rId13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The director shall be responsible for direct supervision of the individual treatment plans for participants and the ongoing assessment of program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member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hours of operation available for a minimum of three consecutive hours per day, three days or evenings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accessing emergency services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and psychosocial rehabilitation services shall be available. A description of the services shall accompany the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ind w:left="120"/>
        <w:jc w:val="both"/>
      </w:pPr>
      <w:r>
        <w:rPr>
          <w:rFonts w:ascii="Times New Roman" w:hAnsi="Times New Roman"/>
          <w:b w:val="false"/>
          <w:i w:val="false"/>
          <w:color w:val="000000"/>
          <w:sz w:val="22"/>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ind w:left="120"/>
        <w:jc w:val="both"/>
      </w:pPr>
      <w:r>
        <w:rPr>
          <w:rFonts w:ascii="Times New Roman" w:hAnsi="Times New Roman"/>
          <w:b w:val="false"/>
          <w:i w:val="false"/>
          <w:color w:val="000000"/>
          <w:sz w:val="22"/>
        </w:rPr>
        <w:t>Day treatment programs shall use an integrated, comprehensive and complementary schedule of therapeutic activities and shall have the capacity to treat a wide array of clinical conditions.</w:t>
      </w:r>
    </w:p>
    <w:p>
      <w:pPr>
        <w:spacing w:before="0" w:after="0"/>
        <w:ind w:left="120"/>
        <w:jc w:val="both"/>
      </w:pPr>
      <w:r>
        <w:rPr>
          <w:rFonts w:ascii="Times New Roman" w:hAnsi="Times New Roman"/>
          <w:b w:val="false"/>
          <w:i w:val="false"/>
          <w:color w:val="000000"/>
          <w:sz w:val="22"/>
        </w:rPr>
        <w:t>The following services shall be available as components of the day treatment program. These services are not separately billable to Medicaid, as day treatment reimbursement includes reimbursement for all day treatment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including individual, group,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ind w:left="120"/>
        <w:jc w:val="both"/>
      </w:pPr>
      <w:r>
        <w:rPr>
          <w:rFonts w:ascii="Times New Roman" w:hAnsi="Times New Roman"/>
          <w:b w:val="false"/>
          <w:i w:val="false"/>
          <w:color w:val="000000"/>
          <w:sz w:val="22"/>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services. All day treatment patients will receive a formal, comprehensive biopsychosocial assessment of day treatment needs including, if applicable, a diagnostic impression based on the Diagnostic and Statistical Manual of Mental Disorders as amended to July 1, 2026. An assessment from another source performed within the previous 12 months may be used if the symptomatology is the same as 12 months ago. If not, parts of the assessment that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Admission criteria. </w:t>
      </w:r>
      <w:r>
        <w:rPr>
          <w:rFonts w:ascii="Times New Roman" w:hAnsi="Times New Roman"/>
          <w:b w:val="false"/>
          <w:i w:val="false"/>
          <w:color w:val="000000"/>
          <w:sz w:val="22"/>
        </w:rPr>
        <w:t>Admission criteria for day treatment services for persons aged 20 or under shall reflect the following clinical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is at risk for exclusion from normative community activities or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is provided that the traditional outpatient setting has been considered and has been determined not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patient has the capacity to benefit from the interventions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treatment plan. </w:t>
      </w:r>
      <w:r>
        <w:rPr>
          <w:rFonts w:ascii="Times New Roman" w:hAnsi="Times New Roman"/>
          <w:b w:val="false"/>
          <w:i w:val="false"/>
          <w:color w:val="000000"/>
          <w:sz w:val="22"/>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that are general statements of member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on the “National Register of Health Service Providers in Psychology” as amended to July 1, 2026. Approval will be evidenced by a signature of the physician or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w:t>
      </w:r>
      <w:r>
        <w:rPr>
          <w:rFonts w:ascii="Times New Roman" w:hAnsi="Times New Roman"/>
          <w:b w:val="false"/>
          <w:i w:val="false"/>
          <w:color w:val="000000"/>
          <w:sz w:val="22"/>
        </w:rPr>
        <w:t>Discharge criteria for the day treatment program for persons aged 20 or under shall incorporate at least the following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patient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goals in the individualized treatment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aftercare plan has been developed that is appropriate to the patient’s needs and agreed to by the patient and family, custodian,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patient does not improve: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clinical condition has deteriorated to the extent that the safety and security of inpatient or residential care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family, or custodian noncompliance with treatment or with program rules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Therapeutic activities will be scheduled according to the needs of the patients, both individually and as a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Scheduled therapeutic activities, which may include other program components as described above, shall be provided at least 3 hours per week up to a maximum of 15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Stable milieu. </w:t>
      </w:r>
      <w:r>
        <w:rPr>
          <w:rFonts w:ascii="Times New Roman" w:hAnsi="Times New Roman"/>
          <w:b w:val="false"/>
          <w:i w:val="false"/>
          <w:color w:val="000000"/>
          <w:sz w:val="22"/>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 xml:space="preserve">Persons aged 18 through 20 with chronic mental illness as defined by rule </w:t>
      </w:r>
      <w:hyperlink r:id="rId13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(225A) can receive day treatment services under this subrule or subrule </w:t>
      </w:r>
      <w:hyperlink r:id="rId137">
        <w:r>
          <w:rPr>
            <w:rStyle w:val="Hyperlink"/>
            <w:rFonts w:ascii="Times New Roman" w:hAnsi="Times New Roman"/>
            <w:b w:val="false"/>
            <w:i w:val="false"/>
            <w:color w:val="000000"/>
            <w:sz w:val="22"/>
          </w:rPr>
          <w:t>78.16(6)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441—78.17</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 xml:space="preserve">Payment will be approved when the services provided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138">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441—78.18</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Payment will be approved for health screening as defined in rule </w:t>
      </w:r>
      <w:hyperlink r:id="rId139">
        <w:r>
          <w:rPr>
            <w:rStyle w:val="Hyperlink"/>
            <w:rFonts w:ascii="Times New Roman" w:hAnsi="Times New Roman"/>
            <w:b w:val="false"/>
            <w:i w:val="false"/>
            <w:color w:val="000000"/>
            <w:sz w:val="22"/>
          </w:rPr>
          <w:t>441—84.1(249A)</w:t>
        </w:r>
      </w:hyperlink>
      <w:r>
        <w:rPr>
          <w:rFonts w:ascii="Times New Roman" w:hAnsi="Times New Roman"/>
          <w:b w:val="false"/>
          <w:i w:val="false"/>
          <w:color w:val="000000"/>
          <w:sz w:val="22"/>
        </w:rPr>
        <w:t xml:space="preserve"> for Medicaid members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78.18(1)</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screening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necessary laboratory service related to an element of screening when performed by the screening center and billed as a separate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78.18(3)</w:t>
      </w:r>
      <w:r>
        <w:rPr>
          <w:rFonts w:ascii="Times New Roman" w:hAnsi="Times New Roman"/>
          <w:b w:val="false"/>
          <w:i w:val="false"/>
          <w:color w:val="000000"/>
          <w:sz w:val="22"/>
        </w:rPr>
        <w:t> </w:t>
      </w:r>
      <w:r>
        <w:rPr>
          <w:rFonts w:ascii="Times New Roman" w:hAnsi="Times New Roman"/>
          <w:b w:val="false"/>
          <w:i w:val="false"/>
          <w:color w:val="000000"/>
          <w:sz w:val="22"/>
        </w:rPr>
        <w:t>Periodicity schedules for health, hearing, vision, and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health, vision, and hearing screenings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 screenings in the first year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screenings between the ages of 13 months and 30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screening per year at ages three, four, five, and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screening per year at ages 7 through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dental screenings will be approved in conjunction with the health screenings up to age 12 months. Screenings will be approved at ages 12 months and 24 months and thereafter at six-month intervals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Interperiodic screenings will be approved as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is established by the periodicity schedule in </w:t>
      </w:r>
      <w:hyperlink r:id="rId140">
        <w:r>
          <w:rPr>
            <w:rStyle w:val="Hyperlink"/>
            <w:rFonts w:ascii="Times New Roman" w:hAnsi="Times New Roman"/>
            <w:b w:val="false"/>
            <w:i w:val="false"/>
            <w:color w:val="000000"/>
            <w:sz w:val="22"/>
          </w:rPr>
          <w:t>78.18(3)</w:t>
        </w:r>
      </w:hyperlink>
      <w:r>
        <w:rPr>
          <w:rFonts w:ascii="Times New Roman" w:hAnsi="Times New Roman"/>
          <w:b w:val="false"/>
          <w:i w:val="false"/>
          <w:color w:val="000000"/>
          <w:sz w:val="22"/>
        </w:rPr>
        <w:t xml:space="preserve"> that an individual is in need of screening, the individual will receive a notice that screening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78.18(5)</w:t>
      </w:r>
      <w:r>
        <w:rPr>
          <w:rFonts w:ascii="Times New Roman" w:hAnsi="Times New Roman"/>
          <w:b w:val="false"/>
          <w:i w:val="false"/>
          <w:color w:val="000000"/>
          <w:sz w:val="22"/>
        </w:rPr>
        <w:t> </w:t>
      </w:r>
      <w:r>
        <w:rPr>
          <w:rFonts w:ascii="Times New Roman" w:hAnsi="Times New Roman"/>
          <w:b w:val="false"/>
          <w:i w:val="false"/>
          <w:color w:val="000000"/>
          <w:sz w:val="22"/>
        </w:rPr>
        <w:t>When an individual is screened, a member of the screening center shall complete a medical history. The medical history shall become part of the individual’s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78.18(7)</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78.18(8)</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dental services provided by a dental hygienist employed by or under contract with a screening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78.19(1)</w:t>
      </w:r>
      <w:r>
        <w:rPr>
          <w:rFonts w:ascii="Times New Roman" w:hAnsi="Times New Roman"/>
          <w:b w:val="false"/>
          <w:i w:val="false"/>
          <w:color w:val="000000"/>
          <w:sz w:val="22"/>
        </w:rPr>
        <w:t> </w:t>
      </w:r>
      <w:r>
        <w:rPr>
          <w:rFonts w:ascii="Times New Roman" w:hAnsi="Times New Roman"/>
          <w:b w:val="false"/>
          <w:i/>
          <w:color w:val="000000"/>
          <w:sz w:val="22"/>
        </w:rPr>
        <w:t xml:space="preserve">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regarding 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provided in the member’s home or in a care facility (other than a hospital) by a speech therapist, physical therapist, or occupational therapist employed by or contracted by the agency. A nursing facility, an ICF/ID, or a hospital where services are provided is not considered a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to a member residing in a residential care facility licensed under Iowa Code section </w:t>
      </w:r>
      <w:hyperlink r:id="rId141">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by the department of inspections, appeals, and licensing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Iowa Medicaid or managed care organizations (MCOs) make payments to a rehabilitation agency for therapy provided to a member residing in a nursing facility or an ICF/ID. Physical, occupational, and speech therapy services for residents of the nursing facility, ICF/ID, or hospital are the responsibility of the nursing facility, ICF/ID,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for a service to be payable, a licensed therapist must complete a plan of treatment every 30 days and indicate the type of service required. The plan of treatment must contain the information noted in subrule </w:t>
      </w:r>
      <w:hyperlink r:id="rId142">
        <w:r>
          <w:rPr>
            <w:rStyle w:val="Hyperlink"/>
            <w:rFonts w:ascii="Times New Roman" w:hAnsi="Times New Roman"/>
            <w:b w:val="false"/>
            <w:i w:val="false"/>
            <w:color w:val="000000"/>
            <w:sz w:val="22"/>
          </w:rPr>
          <w:t>78.19(2)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subparagraphs </w:t>
      </w:r>
      <w:hyperlink r:id="rId143">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Restorative or maintenance therapy sessions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must be face-to-face patient contact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unless an untimed or encounter billing code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must be documented in measurable statistics in the progress notes in order for services to be reimbursed. Refer to subparagraphs </w:t>
      </w:r>
      <w:hyperlink r:id="rId144">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subparagraph </w:t>
      </w:r>
      <w:hyperlink r:id="rId145">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for guidelines under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physical therapist assistant may provide any restorative services performed by a licensed physical therapist under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physical therapy evaluation must be provided by a licensed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must be an expectation that there will be a significant, practical improvement in the patient’s condition in a reasonable amount of time based on the patient’s restorative potential assessed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 must be demonstrated there is a need to establish a safe and effective maintenance program related to a specific disease state,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frequency, and duration of the services must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Beyond evaluation, instruction, and monitoring, maintenance therapy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ind w:left="120"/>
        <w:jc w:val="both"/>
      </w:pPr>
      <w:r>
        <w:rPr>
          <w:rFonts w:ascii="Times New Roman" w:hAnsi="Times New Roman"/>
          <w:b w:val="false"/>
          <w:i w:val="false"/>
          <w:color w:val="000000"/>
          <w:sz w:val="22"/>
        </w:rPr>
        <w:t>(Restorative and maintenance therapy definitions also apply to speech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ind w:left="120"/>
        <w:jc w:val="both"/>
      </w:pPr>
      <w:r>
        <w:rPr>
          <w:rFonts w:ascii="Times New Roman" w:hAnsi="Times New Roman"/>
          <w:b w:val="false"/>
          <w:i w:val="false"/>
          <w:color w:val="000000"/>
          <w:sz w:val="22"/>
        </w:rPr>
        <w:t>Repetitious exercise to increase endurance of weak or unstable patients can be safely provided by supportive personnel, e.g., aides, nursing personnel. Therefore, it is not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Ultrasound, shortwave, and microwave diathermy treatments are considered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ind w:left="120"/>
        <w:jc w:val="both"/>
      </w:pPr>
      <w:r>
        <w:rPr>
          <w:rFonts w:ascii="Times New Roman" w:hAnsi="Times New Roman"/>
          <w:b w:val="false"/>
          <w:i w:val="false"/>
          <w:color w:val="000000"/>
          <w:sz w:val="22"/>
        </w:rPr>
        <w:t>Documentation must reflect the degree of motion lost, the normal range of motion, and the degree to be restored.</w:t>
      </w:r>
    </w:p>
    <w:p>
      <w:pPr>
        <w:spacing w:before="0" w:after="0"/>
        <w:ind w:left="120"/>
        <w:jc w:val="both"/>
      </w:pPr>
      <w:r>
        <w:rPr>
          <w:rFonts w:ascii="Times New Roman" w:hAnsi="Times New Roman"/>
          <w:b w:val="false"/>
          <w:i w:val="false"/>
          <w:color w:val="000000"/>
          <w:sz w:val="22"/>
        </w:rPr>
        <w:t>Range of motion to unaffected joints only does not constitute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Reconditioning programs after surgery or prolonged hospitalization are not covered as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Therapeutic exercises would constitute a physical therapy service due either to the type of exercise employed or to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will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numbered paragraph “4” below for guidelines under a significant change. Further diagnostic or trial therapy for the same issue would not be considered appropriate when progress was not achieved unless the reasons that blocked change previously are listed and the reasons the new diagnostic or trial therapy would not have these blocks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ind w:left="120"/>
        <w:jc w:val="both"/>
      </w:pPr>
      <w:r>
        <w:rPr>
          <w:rFonts w:ascii="Times New Roman" w:hAnsi="Times New Roman"/>
          <w:b w:val="false"/>
          <w:i w:val="false"/>
          <w:color w:val="000000"/>
          <w:sz w:val="22"/>
        </w:rPr>
        <w:t>Diagnostic or trial therapy standards also apply to speech and occupational therapy.</w:t>
      </w:r>
    </w:p>
    <w:p>
      <w:pPr>
        <w:spacing w:before="0" w:after="0"/>
        <w:ind w:left="120"/>
        <w:jc w:val="both"/>
      </w:pPr>
      <w:r>
        <w:rPr>
          <w:rFonts w:ascii="Times New Roman" w:hAnsi="Times New Roman"/>
          <w:b w:val="false"/>
          <w:i w:val="false"/>
          <w:color w:val="000000"/>
          <w:sz w:val="22"/>
        </w:rPr>
        <w:t>The following criteria additionally must be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must be face-to-face interaction with a licensed therapist. (An aide’s services will not be payable.)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must be provided on an individual basis. (Group diagnostic or trial therapy will not be payable.)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Documentation of the diagnostic therapy or trial therapy must reflect the provider’s plan for therapy and the recipient’s response.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Documentation should include any previous attempts to resolve problems using nontherapy personnel (residential group home staff, family members, etc.) and whether follow-up programs from previous therapy have been carried out.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Claims for diagnostic or trial therapy shall reflect the progress being made toward the initial diagnostic or trial therapy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occupational therapy services must be included in a plan of treatment, improve or restore practical functions that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and be reasonable and necessary for the treatment of the person’s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Restorative therapy is covered when an expectation exists that the therapy will result in a significant practical improvement in the person’s condition.</w:t>
      </w:r>
    </w:p>
    <w:p>
      <w:pPr>
        <w:spacing w:before="0" w:after="0"/>
        <w:ind w:left="120"/>
        <w:jc w:val="both"/>
      </w:pPr>
      <w:r>
        <w:rPr>
          <w:rFonts w:ascii="Times New Roman" w:hAnsi="Times New Roman"/>
          <w:b w:val="false"/>
          <w:i w:val="false"/>
          <w:color w:val="000000"/>
          <w:sz w:val="22"/>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ind w:left="120"/>
        <w:jc w:val="both"/>
      </w:pPr>
      <w:r>
        <w:rPr>
          <w:rFonts w:ascii="Times New Roman" w:hAnsi="Times New Roman"/>
          <w:b w:val="false"/>
          <w:i w:val="false"/>
          <w:color w:val="000000"/>
          <w:sz w:val="22"/>
        </w:rPr>
        <w:t xml:space="preserve">The guidelines under restorative therapy, maintenance therapy, and diagnostic or trial therapy for physical therapy in subparagraphs </w:t>
      </w:r>
      <w:hyperlink r:id="rId146">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 xml:space="preserve">(8), and </w:t>
      </w:r>
      <w:r>
        <w:rPr>
          <w:rFonts w:ascii="Times New Roman" w:hAnsi="Times New Roman"/>
          <w:b w:val="false"/>
          <w:i/>
          <w:color w:val="000000"/>
          <w:sz w:val="22"/>
        </w:rPr>
        <w:t>“b”</w:t>
      </w:r>
      <w:r>
        <w:rPr>
          <w:rFonts w:ascii="Times New Roman" w:hAnsi="Times New Roman"/>
          <w:b w:val="false"/>
          <w:i w:val="false"/>
          <w:color w:val="000000"/>
          <w:sz w:val="22"/>
        </w:rPr>
        <w:t>(16) apply to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therapy, or any activity or exercise program required to maintain a function at the restored level, is not a covered service. However, designing a maintenance program in accordance with the requirements of subparagraph </w:t>
      </w:r>
      <w:hyperlink r:id="rId147">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monitoring the progress would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selection and teaching of tasks designed to restore physical function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teaching of activities of daily living and energy conservation to improve the level of independence of a patient that require the skill of a licensed therapist and meet the definition of restorative therapy is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designing, fabricating, and fitting of orthotic and self-help devices are considered covered services if they relate to the patient’s condition and require occupational therapy. A maximum of 13 visits is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Vocational and prevocational assessment and training are not payable by Medicaid. These include services that are related solely to specific employment opportunities, work skills, or work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by Medicaid as rehabilitation agency services, speech therapy services must be included in a plan of treatment established by the licensed, skilled therapist after consultation with the physician, relate to a specific medical diagnosis that will significantly improve a patient’s practical, functional level in a reasonable and predictable time period, and require the skilled services of a speech therapist. Services provided by a speech aide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therapy activities that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a patient to use sign language and to use an augmentative communication device is reimbursable. The patient must show significant progress outside the therapy sessions in order for these services to be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and limits on restorative therapy, maintenance therapy, and diagnostic or trial therapy for physical therapy in subparagraphs </w:t>
      </w:r>
      <w:hyperlink r:id="rId148">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 xml:space="preserve">(8), and </w:t>
      </w:r>
      <w:r>
        <w:rPr>
          <w:rFonts w:ascii="Times New Roman" w:hAnsi="Times New Roman"/>
          <w:b w:val="false"/>
          <w:i/>
          <w:color w:val="000000"/>
          <w:sz w:val="22"/>
        </w:rPr>
        <w:t>“b”</w:t>
      </w:r>
      <w:r>
        <w:rPr>
          <w:rFonts w:ascii="Times New Roman" w:hAnsi="Times New Roman"/>
          <w:b w:val="false"/>
          <w:i w:val="false"/>
          <w:color w:val="000000"/>
          <w:sz w:val="22"/>
        </w:rPr>
        <w:t xml:space="preserve">(16) apply to speech therapy. If the only goal of prior rehabilitative speech therapy was to learn the prerequisite speech components, then the fifth paragraph under subparagraph </w:t>
      </w:r>
      <w:hyperlink r:id="rId149">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will not apply to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for plans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information to be included on medical information forms and treatment plans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current medical condition and functional abilities, including any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physician’s signature and date (within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Patient’s progress in measurable statistics. (Refer to subparagraph </w:t>
      </w:r>
      <w:hyperlink r:id="rId150">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prior surgery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the patient was last seen by the physician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diagnosis relevant to the medical necessity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Dates of onset of any diagnoses for which treatment is being rendered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initial evaluation or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services to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 and 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the services and the estimated date of discharge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Assistive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patient’s rehabilitative potential and the extent to which the patient has been able to apply the skills learned in the rehabilitation setting to everyday living outside the therapy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date of the last episode of instability or the date of the last episode of acute recurrence of illness or symptoms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Quantitative, measurable, short-term and long-term functional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The period of time of a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Prior treatment (history related to current diagnosis) if available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to be included when developing plans for teaching, training, and counseling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whom the services were provided (patient, family member,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teaching, training, or counseling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necessity of the rendered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identification of specific services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of the start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Progress in response to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estimated length of time the services are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441—78.21</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 xml:space="preserve">Payment will be made to rural health clinics for the same services payable under the Medicare program. Payment will be made for sterilization in accordance with subrule </w:t>
      </w:r>
      <w:hyperlink r:id="rId151">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federally qualified health centers,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a Medicaid Prenatal Risk Assessment form,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152">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rural health center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441—78.22</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 planning clinics. </w:t>
      </w:r>
      <w:r>
        <w:rPr>
          <w:rFonts w:ascii="Times New Roman" w:hAnsi="Times New Roman"/>
          <w:b w:val="false"/>
          <w:i w:val="false"/>
          <w:color w:val="000000"/>
          <w:sz w:val="22"/>
        </w:rPr>
        <w:t>Payments will be made on a fee schedule basis for services provided by family planning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 in accordance with subrule </w:t>
      </w:r>
      <w:hyperlink r:id="rId153">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family planning clinic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441—78.23</w:t>
      </w:r>
      <w:r>
        <w:rPr>
          <w:rFonts w:ascii="Times New Roman" w:hAnsi="Times New Roman"/>
          <w:b/>
          <w:i w:val="false"/>
          <w:color w:val="000000"/>
          <w:sz w:val="22"/>
        </w:rPr>
        <w:t xml:space="preserve">(249A) </w:t>
      </w:r>
      <w:r>
        <w:rPr>
          <w:rFonts w:ascii="Times New Roman" w:hAnsi="Times New Roman"/>
          <w:b/>
          <w:i w:val="false"/>
          <w:color w:val="000000"/>
          <w:sz w:val="22"/>
        </w:rPr>
        <w:t xml:space="preserve">Other clinic services. </w:t>
      </w:r>
      <w:r>
        <w:rPr>
          <w:rFonts w:ascii="Times New Roman" w:hAnsi="Times New Roman"/>
          <w:b w:val="false"/>
          <w:i w:val="false"/>
          <w:color w:val="000000"/>
          <w:sz w:val="22"/>
        </w:rPr>
        <w:t>Payment will be made on a fee schedule basis to facilities not part of a hospital, funded publicly or by private contributions, that provide medically necessary treatment by or under the direct supervision of a physician or dentist to outpatients.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 xml:space="preserve">Payment will be made for sterilization in accordance with subrule </w:t>
      </w:r>
      <w:hyperlink r:id="rId154">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federally qualified health centers,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78.23(3)</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a Medicaid Prenatal Risk Assessment form,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15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clinic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441—78.24</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r>
        <w:rPr>
          <w:rFonts w:ascii="Times New Roman" w:hAnsi="Times New Roman"/>
          <w:b w:val="false"/>
          <w:i w:val="false"/>
          <w:color w:val="000000"/>
          <w:sz w:val="22"/>
        </w:rPr>
        <w:t>Payment will be approved for services authorized by state law when they are provided by the psychologist in the psychologist’s office, a hospital, nursing facility, or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78.24(1)</w:t>
      </w:r>
      <w:r>
        <w:rPr>
          <w:rFonts w:ascii="Times New Roman" w:hAnsi="Times New Roman"/>
          <w:b w:val="false"/>
          <w:i w:val="false"/>
          <w:color w:val="000000"/>
          <w:sz w:val="22"/>
        </w:rPr>
        <w:t> </w:t>
      </w:r>
      <w:r>
        <w:rPr>
          <w:rFonts w:ascii="Times New Roman" w:hAnsi="Times New Roman"/>
          <w:b w:val="false"/>
          <w:i w:val="false"/>
          <w:color w:val="000000"/>
          <w:sz w:val="22"/>
        </w:rPr>
        <w:t>Payment for covered services provided by the psychologist will be made on a fee for 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time spent in face-to-face consultation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spent with clients shall be rounded to the quarter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psychological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outpatient psychotherapy or other psychological procedures not to exceed one hour per week or 40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Couple, marital, family, or group outpatient therapy not to exceed one and one-half hours per week or 60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combination of individual and group therapy not to exceed the cost of 40 individual therapy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and testing for purposes of evaluation, placement, psychotherapy, or assessment of therapeutic progress, not to exceed eight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at the same rate as in subrule </w:t>
      </w:r>
      <w:hyperlink r:id="rId156">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psychologist to travel outside of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qualified mental health professional more immediately available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medical condition which prohibits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Covered procedures necessary to maintain continuity of psychological treatment during periods of hospitalization or convalescence for physical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provided within a licensed hospital, residential treatment facility, day hospital, or nursing home as part of an approved treatment plan and a psychologist is not employed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78.24(3)</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performed without relationship to evaluations or psychotherapy for a specific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covered under Part B of Medicare, except for the Part B Medicare deductible and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employing unusual or experimental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and group psychotherapy without specification of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growth groups or marathons, or psychotherapy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78.24(5)</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shall require review by a consultant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Protracted therapy beyond 16 visits. These cases shall be reviewed following the sixteenth therapy session and periodically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 that does not appear necessary or appears to fall outside the scope of what is professionally appropriate or necessary for a particular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441—78.25</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a Medicaid Prenatal Risk Assessment form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described in subrule </w:t>
      </w:r>
      <w:hyperlink r:id="rId157">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78.25(1)</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Prenatal and postpartum medical services shall be provided by a physician, a PA, or a nurse practitioner employed by or on contract with the center. Medical services performed by maternal health centers shall be performed under the supervision of a physician. Nurse practitioners and PAs performing under the supervision of a physician must do so within the scope of practice of that profession, as defined by Iowa Code chapters </w:t>
      </w:r>
      <w:hyperlink r:id="rId15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15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 services and postpartum home visits shall be provided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Nutrition services shall be provided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78.25(2)</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for all pregnant women. </w:t>
      </w:r>
      <w:r>
        <w:rPr>
          <w:rFonts w:ascii="Times New Roman" w:hAnsi="Times New Roman"/>
          <w:b w:val="false"/>
          <w:i w:val="false"/>
          <w:color w:val="000000"/>
          <w:sz w:val="22"/>
        </w:rPr>
        <w:t>Services provided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Prenatal and postpartum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education,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Importance of continued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Normal changes of pregnancy including both maternal changes and fetal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Self-care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Comfort measures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Danger signs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 and delivery including the normal process of labor, signs of labor, coping skills, danger signs, and management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Preparation for baby including feeding, equipment, and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on the use of over-the-counter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about HIV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to receive prenatal and postpartum services that is not payable under rule </w:t>
      </w:r>
      <w:hyperlink r:id="rId160">
        <w:r>
          <w:rPr>
            <w:rStyle w:val="Hyperlink"/>
            <w:rFonts w:ascii="Times New Roman" w:hAnsi="Times New Roman"/>
            <w:b w:val="false"/>
            <w:i w:val="false"/>
            <w:color w:val="000000"/>
            <w:sz w:val="22"/>
          </w:rPr>
          <w:t>441—78.11</w:t>
        </w:r>
      </w:hyperlink>
      <w:r>
        <w:rPr>
          <w:rFonts w:ascii="Times New Roman" w:hAnsi="Times New Roman"/>
          <w:b w:val="false"/>
          <w:i w:val="false"/>
          <w:color w:val="000000"/>
          <w:sz w:val="22"/>
        </w:rPr>
        <w:t xml:space="preserve">(249A) or </w:t>
      </w:r>
      <w:hyperlink r:id="rId161">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services within the scope of practice as defined by the dental board in </w:t>
      </w:r>
      <w:hyperlink r:id="rId162">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78.25(3)</w:t>
      </w:r>
      <w:r>
        <w:rPr>
          <w:rFonts w:ascii="Times New Roman" w:hAnsi="Times New Roman"/>
          <w:b w:val="false"/>
          <w:i w:val="false"/>
          <w:color w:val="000000"/>
          <w:sz w:val="22"/>
        </w:rPr>
        <w:t> </w:t>
      </w:r>
      <w:r>
        <w:rPr>
          <w:rFonts w:ascii="Times New Roman" w:hAnsi="Times New Roman"/>
          <w:b w:val="false"/>
          <w:i/>
          <w:color w:val="000000"/>
          <w:sz w:val="22"/>
        </w:rPr>
        <w:t xml:space="preserve">Enhanced services covered for women with high-risk pregnancies. </w:t>
      </w:r>
      <w:r>
        <w:rPr>
          <w:rFonts w:ascii="Times New Roman" w:hAnsi="Times New Roman"/>
          <w:b w:val="false"/>
          <w:i w:val="false"/>
          <w:color w:val="000000"/>
          <w:sz w:val="22"/>
        </w:rPr>
        <w:t>Enhanced perinatal services may be provided to a patient who has been determined to have a high-risk pregnancy as documented on the Medicaid Prenatal Risk Assessment form. An appropriately trained physician or ARNP must be involved in staffing the patients receiving enhanced services.</w:t>
      </w:r>
    </w:p>
    <w:p>
      <w:pPr>
        <w:spacing w:before="0" w:after="0"/>
        <w:ind w:left="120"/>
        <w:jc w:val="both"/>
      </w:pPr>
      <w:r>
        <w:rPr>
          <w:rFonts w:ascii="Times New Roman" w:hAnsi="Times New Roman"/>
          <w:b w:val="false"/>
          <w:i w:val="false"/>
          <w:color w:val="000000"/>
          <w:sz w:val="22"/>
        </w:rPr>
        <w:t>Enhanced services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which shall include as appropriate education about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High-risk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High-risk 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Smoking cessation.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Alcohol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Environmental and occupational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Nutrition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assessment of nutritional risk based on height, current and prepregnancy weight status, laboratory data, clinical data, and self-reported dietary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nutritional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individualized nutritional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food assistance programs if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Nutritional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psychosocial assessment including: needs assessment, profile of client demographic factors, mental and physical health history and concerns, adjustment to pregnancy and future parenting, and environmental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profile of the client’s family composition, patterns of functioning and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assessment-based plan of care, risk tracking, counseling and anticipatory guidance as appropriate, and referral and follow-up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postpartum home visit within two weeks of the child’s discharge from the hospital,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mother’s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emotional changes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Parenting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of infant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Infant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Grief support for unhealthy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Parenting of a preterm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Identification of and referral to community resources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maternal health center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441—78.26</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 services. </w:t>
      </w:r>
      <w:r>
        <w:rPr>
          <w:rFonts w:ascii="Times New Roman" w:hAnsi="Times New Roman"/>
          <w:b w:val="false"/>
          <w:i w:val="false"/>
          <w:color w:val="000000"/>
          <w:sz w:val="22"/>
        </w:rPr>
        <w:t>Ambulatory surgical center services are those services furnished by an ambulatory surgical center in connection with a covered surgical procedure or a covered dental procedure. Covered procedures are listed in the fee schedule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78.26(1)</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surgical procedures will be those medically necessary procedures that are eligible for payment as physicians’ services, under the circumstances specified in rule </w:t>
      </w:r>
      <w:hyperlink r:id="rId163">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and performed on a Medicaid member, that can safely be performed in an outpatient setting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78.26(2)</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dental procedures are those medically necessary procedures that are eligible for payment as dentists’ services, under the circumstances specified in rule </w:t>
      </w:r>
      <w:hyperlink r:id="rId164">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 performed on a Medicaid member, that can safely be performed in an outpatient setting for Medicaid members whose mental, physical, or emotional condition necessitates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78.26(3)</w:t>
      </w:r>
      <w:r>
        <w:rPr>
          <w:rFonts w:ascii="Times New Roman" w:hAnsi="Times New Roman"/>
          <w:b w:val="false"/>
          <w:i w:val="false"/>
          <w:color w:val="000000"/>
          <w:sz w:val="22"/>
        </w:rPr>
        <w:t> </w:t>
      </w:r>
      <w:r>
        <w:rPr>
          <w:rFonts w:ascii="Times New Roman" w:hAnsi="Times New Roman"/>
          <w:b w:val="false"/>
          <w:i w:val="false"/>
          <w:color w:val="000000"/>
          <w:sz w:val="22"/>
        </w:rPr>
        <w:t>The covered services provided by the ambulatory surgical center in connection with a Medicaid-covered surgical or dental procedure will be those nonsurgical and nondental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medically necessary in connection with a Medicaid-covered surgical or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 eligible for payment as physicians’ services under the circumstances specified in rule </w:t>
      </w:r>
      <w:hyperlink r:id="rId165">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as dentists’ services under the circumstances specified in rule </w:t>
      </w:r>
      <w:hyperlink r:id="rId166">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 safely and economically be performed in an outpatient setting,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78.26(4)</w:t>
      </w:r>
      <w:r>
        <w:rPr>
          <w:rFonts w:ascii="Times New Roman" w:hAnsi="Times New Roman"/>
          <w:b w:val="false"/>
          <w:i w:val="false"/>
          <w:color w:val="000000"/>
          <w:sz w:val="22"/>
        </w:rPr>
        <w:t> </w:t>
      </w:r>
      <w:r>
        <w:rPr>
          <w:rFonts w:ascii="Times New Roman" w:hAnsi="Times New Roman"/>
          <w:b w:val="false"/>
          <w:i w:val="false"/>
          <w:color w:val="000000"/>
          <w:sz w:val="22"/>
        </w:rPr>
        <w:t>Limits on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Abortion procedures are covered only when criteria in subrule </w:t>
      </w:r>
      <w:hyperlink r:id="rId167">
        <w:r>
          <w:rPr>
            <w:rStyle w:val="Hyperlink"/>
            <w:rFonts w:ascii="Times New Roman" w:hAnsi="Times New Roman"/>
            <w:b w:val="false"/>
            <w:i w:val="false"/>
            <w:color w:val="000000"/>
            <w:sz w:val="22"/>
          </w:rPr>
          <w:t>78.1(17)</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procedures are covered only when criteria in subrule </w:t>
      </w:r>
      <w:hyperlink r:id="rId168">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Iowa Medicaid is required if ambulatory surgical centers are to be reimbursed for certain frequently performed surgical procedures as set forth under subrule </w:t>
      </w:r>
      <w:hyperlink r:id="rId169">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Criteria are available from Iowa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Payment for habilitation services will only be made to providers enrolled to provide habilitation through Iowa Medicaid. Payment will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“Benefits education”</w:t>
      </w:r>
      <w:r>
        <w:rPr>
          <w:rFonts w:ascii="Times New Roman" w:hAnsi="Times New Roman"/>
          <w:b w:val="false"/>
          <w:i w:val="false"/>
          <w:color w:val="000000"/>
          <w:sz w:val="22"/>
        </w:rPr>
        <w:t> </w:t>
      </w:r>
      <w:r>
        <w:rPr>
          <w:rFonts w:ascii="Times New Roman" w:hAnsi="Times New Roman"/>
          <w:b w:val="false"/>
          <w:i w:val="false"/>
          <w:color w:val="000000"/>
          <w:sz w:val="22"/>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“Career exploration,”</w:t>
      </w:r>
      <w:r>
        <w:rPr>
          <w:rFonts w:ascii="Times New Roman" w:hAnsi="Times New Roman"/>
          <w:b w:val="false"/>
          <w:i w:val="false"/>
          <w:color w:val="000000"/>
          <w:sz w:val="22"/>
        </w:rPr>
        <w:t> </w:t>
      </w:r>
      <w:r>
        <w:rPr>
          <w:rFonts w:ascii="Times New Roman" w:hAnsi="Times New Roman"/>
          <w:b w:val="false"/>
          <w:i w:val="false"/>
          <w:color w:val="000000"/>
          <w:sz w:val="22"/>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“Career plan”</w:t>
      </w:r>
      <w:r>
        <w:rPr>
          <w:rFonts w:ascii="Times New Roman" w:hAnsi="Times New Roman"/>
          <w:b w:val="false"/>
          <w:i w:val="false"/>
          <w:color w:val="000000"/>
          <w:sz w:val="22"/>
        </w:rPr>
        <w:t> </w:t>
      </w:r>
      <w:r>
        <w:rPr>
          <w:rFonts w:ascii="Times New Roman" w:hAnsi="Times New Roman"/>
          <w:b w:val="false"/>
          <w:i w:val="false"/>
          <w:color w:val="000000"/>
          <w:sz w:val="22"/>
        </w:rPr>
        <w:t>means a written plan documenting the member’s stated career objective and used to guide individual employment support services for achieving competitive, integrated employment at or above the state’s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 management services accredited under </w:t>
      </w:r>
      <w:hyperlink r:id="rId17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171">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employment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and Adolescent Level of Care Utilization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“CALOCUS”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comprehensive functional assessment tool utilized to determine eligibility for the habilitation program and service authorization for the home-based habilitation service and intensive residential habilitation services for individuals aged 16 to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service plan”</w:t>
      </w:r>
      <w:r>
        <w:rPr>
          <w:rFonts w:ascii="Times New Roman" w:hAnsi="Times New Roman"/>
          <w:b w:val="false"/>
          <w:i w:val="false"/>
          <w:color w:val="000000"/>
          <w:sz w:val="22"/>
        </w:rPr>
        <w:t> </w:t>
      </w:r>
      <w:r>
        <w:rPr>
          <w:rFonts w:ascii="Times New Roman" w:hAnsi="Times New Roman"/>
          <w:b w:val="false"/>
          <w:i w:val="false"/>
          <w:color w:val="000000"/>
          <w:sz w:val="22"/>
        </w:rPr>
        <w:t>means an individualized, person-centered, and goal-oriented plan of services written in language understandable by the member using the service and developed collaboratively by the member and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“Customized employment”</w:t>
      </w:r>
      <w:r>
        <w:rPr>
          <w:rFonts w:ascii="Times New Roman" w:hAnsi="Times New Roman"/>
          <w:b w:val="false"/>
          <w:i w:val="false"/>
          <w:color w:val="000000"/>
          <w:sz w:val="22"/>
        </w:rPr>
        <w:t> </w:t>
      </w:r>
      <w:r>
        <w:rPr>
          <w:rFonts w:ascii="Times New Roman" w:hAnsi="Times New Roman"/>
          <w:b w:val="false"/>
          <w:i w:val="false"/>
          <w:color w:val="000000"/>
          <w:sz w:val="22"/>
        </w:rPr>
        <w:t>means an approach to supported employment that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w:t>
      </w:r>
      <w:r>
        <w:rPr>
          <w:rFonts w:ascii="Times New Roman" w:hAnsi="Times New Roman"/>
          <w:b w:val="false"/>
          <w:i w:val="false"/>
          <w:color w:val="000000"/>
          <w:sz w:val="22"/>
        </w:rPr>
        <w:t> </w:t>
      </w:r>
      <w:r>
        <w:rPr>
          <w:rFonts w:ascii="Times New Roman" w:hAnsi="Times New Roman"/>
          <w:b w:val="false"/>
          <w:i w:val="false"/>
          <w:color w:val="000000"/>
          <w:sz w:val="22"/>
        </w:rPr>
        <w:t>means a situation for which no approved individual program plan exists that, if not addressed, may result in injury or harm to the member or to other persons or in significant amounts of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means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employment”</w:t>
      </w:r>
      <w:r>
        <w:rPr>
          <w:rFonts w:ascii="Times New Roman" w:hAnsi="Times New Roman"/>
          <w:b w:val="false"/>
          <w:i w:val="false"/>
          <w:color w:val="000000"/>
          <w:sz w:val="22"/>
        </w:rPr>
        <w:t> </w:t>
      </w:r>
      <w:r>
        <w:rPr>
          <w:rFonts w:ascii="Times New Roman" w:hAnsi="Times New Roman"/>
          <w:b w:val="false"/>
          <w:i w:val="false"/>
          <w:color w:val="000000"/>
          <w:sz w:val="22"/>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placement and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“IPS”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as amended to July 1, 2026, and as measured by its employment fidelity scale available online at </w:t>
      </w:r>
      <w:hyperlink r:id="rId172">
        <w:r>
          <w:rPr>
            <w:rStyle w:val="Hyperlink"/>
            <w:rFonts w:ascii="Times New Roman" w:hAnsi="Times New Roman"/>
            <w:b w:val="false"/>
            <w:i w:val="false"/>
            <w:color w:val="000000"/>
            <w:sz w:val="22"/>
            <w:u w:val="single"/>
          </w:rPr>
          <w:t>ipsworks.org</w:t>
        </w:r>
      </w:hyperlink>
      <w:r>
        <w:rPr>
          <w:rFonts w:ascii="Times New Roman" w:hAnsi="Times New Roman"/>
          <w:b w:val="false"/>
          <w:i w:val="false"/>
          <w:color w:val="000000"/>
          <w:sz w:val="22"/>
        </w:rPr>
        <w:t xml:space="preserve">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“Integrated community employment”</w:t>
      </w:r>
      <w:r>
        <w:rPr>
          <w:rFonts w:ascii="Times New Roman" w:hAnsi="Times New Roman"/>
          <w:b w:val="false"/>
          <w:i w:val="false"/>
          <w:color w:val="000000"/>
          <w:sz w:val="22"/>
        </w:rPr>
        <w:t> </w:t>
      </w:r>
      <w:r>
        <w:rPr>
          <w:rFonts w:ascii="Times New Roman" w:hAnsi="Times New Roman"/>
          <w:b w:val="false"/>
          <w:i w:val="false"/>
          <w:color w:val="000000"/>
          <w:sz w:val="22"/>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that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“Intensive residential service homes”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“intensive residential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home-based habilitation, or HCBS intellectual disability waiver supported community living and meet additional criteria specified in rule </w:t>
      </w:r>
      <w:hyperlink r:id="rId173">
        <w:r>
          <w:rPr>
            <w:rStyle w:val="Hyperlink"/>
            <w:rFonts w:ascii="Times New Roman" w:hAnsi="Times New Roman"/>
            <w:b w:val="false"/>
            <w:i w:val="false"/>
            <w:color w:val="000000"/>
            <w:sz w:val="22"/>
          </w:rPr>
          <w:t>441—77.30</w:t>
        </w:r>
      </w:hyperlink>
      <w:r>
        <w:rPr>
          <w:rFonts w:ascii="Times New Roman" w:hAnsi="Times New Roman"/>
          <w:b w:val="false"/>
          <w:i w:val="false"/>
          <w:color w:val="000000"/>
          <w:sz w:val="22"/>
        </w:rPr>
        <w:t>(249A) and the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a group of persons with varied professional backgrounds who meet with the member to develop a comprehensive service plan to address the member’s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“IoWANS”</w:t>
      </w:r>
      <w:r>
        <w:rPr>
          <w:rFonts w:ascii="Times New Roman" w:hAnsi="Times New Roman"/>
          <w:b w:val="false"/>
          <w:i w:val="false"/>
          <w:color w:val="000000"/>
          <w:sz w:val="22"/>
        </w:rPr>
        <w:t> </w:t>
      </w:r>
      <w:r>
        <w:rPr>
          <w:rFonts w:ascii="Times New Roman" w:hAnsi="Times New Roman"/>
          <w:b w:val="false"/>
          <w:i w:val="false"/>
          <w:color w:val="000000"/>
          <w:sz w:val="22"/>
        </w:rPr>
        <w:t>means the department’s Institutional and Waiver Authorization and Narrative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Care Utilization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“LOCUS”</w:t>
      </w:r>
      <w:r>
        <w:rPr>
          <w:rFonts w:ascii="Times New Roman" w:hAnsi="Times New Roman"/>
          <w:b w:val="false"/>
          <w:i w:val="false"/>
          <w:color w:val="000000"/>
          <w:sz w:val="22"/>
        </w:rPr>
        <w:t>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and intensive residential services for individuals aged 19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7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17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for qualifying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“Severe and persistent mental illness”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“SPMI”</w:t>
      </w:r>
      <w:r>
        <w:rPr>
          <w:rFonts w:ascii="Times New Roman" w:hAnsi="Times New Roman"/>
          <w:b w:val="false"/>
          <w:i w:val="false"/>
          <w:color w:val="000000"/>
          <w:sz w:val="22"/>
        </w:rPr>
        <w:t> </w:t>
      </w:r>
      <w:r>
        <w:rPr>
          <w:rFonts w:ascii="Times New Roman" w:hAnsi="Times New Roman"/>
          <w:b w:val="false"/>
          <w:i w:val="false"/>
          <w:color w:val="000000"/>
          <w:sz w:val="22"/>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“Supported employment”</w:t>
      </w:r>
      <w:r>
        <w:rPr>
          <w:rFonts w:ascii="Times New Roman" w:hAnsi="Times New Roman"/>
          <w:b w:val="false"/>
          <w:i w:val="false"/>
          <w:color w:val="000000"/>
          <w:sz w:val="22"/>
        </w:rPr>
        <w:t> </w:t>
      </w:r>
      <w:r>
        <w:rPr>
          <w:rFonts w:ascii="Times New Roman" w:hAnsi="Times New Roman"/>
          <w:b w:val="false"/>
          <w:i w:val="false"/>
          <w:color w:val="000000"/>
          <w:sz w:val="22"/>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“Supported self-employment”</w:t>
      </w:r>
      <w:r>
        <w:rPr>
          <w:rFonts w:ascii="Times New Roman" w:hAnsi="Times New Roman"/>
          <w:b w:val="false"/>
          <w:i w:val="false"/>
          <w:color w:val="000000"/>
          <w:sz w:val="22"/>
        </w:rPr>
        <w:t> </w:t>
      </w:r>
      <w:r>
        <w:rPr>
          <w:rFonts w:ascii="Times New Roman" w:hAnsi="Times New Roman"/>
          <w:b w:val="false"/>
          <w:i w:val="false"/>
          <w:color w:val="000000"/>
          <w:sz w:val="22"/>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“Sustained employment”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employment situation that the member maintains over time but not for less than 90 calendar days following the receipt of employment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home- and community-based 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LOCUS/CALOCUS actual disposition. </w:t>
      </w:r>
      <w:r>
        <w:rPr>
          <w:rFonts w:ascii="Times New Roman" w:hAnsi="Times New Roman"/>
          <w:b w:val="false"/>
          <w:i w:val="false"/>
          <w:color w:val="000000"/>
          <w:sz w:val="22"/>
        </w:rPr>
        <w:t>The member has a LOCUS/CALOCUS actual disposition of level one recovery maintenance and health management or higher on the most current LOCUS/CALOCUS assessment completed within the past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meets at least one of the following risk-based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inpatient, partial hospitalization, or emergency psychiatric  treatment more than once in the member’s life;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continuous professional psychiatric supportive care other than  hospitalization;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involvement with the criminal justice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available in the member’s community have not been able to meet the member’s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unemployment or employment in a sheltered setting or poor work history;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homelessness or is at risk of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has a need for assistance demonstrated by meeting at least two of the following criteria on a continuing or intermittent basis for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to obtain or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requires financial assistance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needs significant assistance to establish or maintain a personal social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with at least one of the activities of daily living (ADLs) or  instrumental activities of daily living (IADLs)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with management and intervention of maladaptive or antisocial behaviors to ensure the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countable income used in determining the member’s Medicaid eligibility does not exceed 150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department-approved assessment tool has been completed, and Iowa Medicaid has determined that the member is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Designated case manager. </w:t>
      </w:r>
      <w:r>
        <w:rPr>
          <w:rFonts w:ascii="Times New Roman" w:hAnsi="Times New Roman"/>
          <w:b w:val="false"/>
          <w:i w:val="false"/>
          <w:color w:val="000000"/>
          <w:sz w:val="22"/>
        </w:rPr>
        <w:t>The designated case manager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the completion of the needs-based assessment before services begin, and annually thereafter, and more frequently if significant observable changes occur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information submission tool and other supporting documentation as relevant to develop a comprehensive service plan as specified in subrule </w:t>
      </w:r>
      <w:hyperlink r:id="rId176">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services begin and annually thereafter, and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Plan for service. </w:t>
      </w:r>
      <w:r>
        <w:rPr>
          <w:rFonts w:ascii="Times New Roman" w:hAnsi="Times New Roman"/>
          <w:b w:val="false"/>
          <w:i w:val="false"/>
          <w:color w:val="000000"/>
          <w:sz w:val="22"/>
        </w:rPr>
        <w:t>The department or the member’s MCO has approved the member’s comprehensive service plan for home- and community-based habilitation services. Home- and community-based habilitation services included in a comprehensive service plan or treatment plan that has been validated by Iowa Medicaid or the member’s MCO will be considered approved by the department. Home- and community-based habilitation services provided before approval of a member’s eligibility for the program cannot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comprehensive service plan shall be completed annually according to the requirements of subrule </w:t>
      </w:r>
      <w:hyperlink r:id="rId178">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179">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 service plan may change when requested by the member or the member’s interdisciplinary team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the service plan shall include the member’s needs-based assessment, actual disposition, the composite score, and each individual domain score for each of the six assessed domains.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habilitation services shall not exceed the maximum number of units established for each service in </w:t>
      </w:r>
      <w:hyperlink r:id="rId18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habilitation services shall not exceed unit expense maximums established in </w:t>
      </w:r>
      <w:hyperlink r:id="rId18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 xml:space="preserve">The member or case manager shall apply for habilitation services on behalf of a member by contacting Iowa Medicaid. The department will issue a notice of decision to the applicant in accordance with </w:t>
      </w:r>
      <w:hyperlink r:id="rId18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when financial eligibility and needs-based eligibility determinations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78.27(4)</w:t>
      </w: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 comprehensive service plan or treatment plan shall be developed for each member receiving home- and community-based habilitation services based on the member’s current assessment and shall be reviewed on an annual basis. The comprehensive service plan will meet the criteria described in the HCBS habilitation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Rights restrictions. </w:t>
      </w:r>
      <w:r>
        <w:rPr>
          <w:rFonts w:ascii="Times New Roman" w:hAnsi="Times New Roman"/>
          <w:b w:val="false"/>
          <w:i w:val="false"/>
          <w:color w:val="000000"/>
          <w:sz w:val="22"/>
        </w:rPr>
        <w:t xml:space="preserve">Any rights restrictions must be implemented in accordance with </w:t>
      </w:r>
      <w:hyperlink r:id="rId183">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comprehensive service plan or treatment plan shall include a plan for emergencies and identification of the supports available to the member in an emergency. Emergency plans shall be developed as detailed in the HCBS habilitation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 xml:space="preserve">Services shall be entered into IoWANS based on the comprehensive service plan. A comprehensive service plan or treatment plan that has been validated and authorized through IoWANS will be considered approved by the department. Services must be authorized in IoWANS as specified in paragraph </w:t>
      </w:r>
      <w:hyperlink r:id="rId184">
        <w:r>
          <w:rPr>
            <w:rStyle w:val="Hyperlink"/>
            <w:rFonts w:ascii="Times New Roman" w:hAnsi="Times New Roman"/>
            <w:b w:val="false"/>
            <w:i w:val="false"/>
            <w:color w:val="000000"/>
            <w:sz w:val="22"/>
          </w:rPr>
          <w:t>78.27(2)</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services. </w:t>
      </w:r>
      <w:r>
        <w:rPr>
          <w:rFonts w:ascii="Times New Roman" w:hAnsi="Times New Roman"/>
          <w:b w:val="false"/>
          <w:i w:val="false"/>
          <w:color w:val="000000"/>
          <w:sz w:val="22"/>
        </w:rPr>
        <w:t>Home- and community-based habilitation services shall be provided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shall be based on the member’s needs as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shall be delivered in the least restrictive environment appropriate to the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shall include the applicable and necessary instruction, supervision, assistance, and support required by the member to achieve the member’s life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components that are the same or similar shall not be provided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costs are not reimbursable while the member is in a medical institution, including but not limited to a hospital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is not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Services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documented. Each unit billed must have corresponding financial and medical records as set forth in rule </w:t>
      </w:r>
      <w:hyperlink r:id="rId18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Case management assists members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Case management services shall be provided as set forth in rules </w:t>
      </w:r>
      <w:hyperlink r:id="rId186">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187">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Payment will not be made for case management provided to a member who is eligible for targeted case management services under </w:t>
      </w:r>
      <w:hyperlink r:id="rId188">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78.27(7)</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r>
        <w:rPr>
          <w:rFonts w:ascii="Times New Roman" w:hAnsi="Times New Roman"/>
          <w:b w:val="false"/>
          <w:i w:val="false"/>
          <w:color w:val="000000"/>
          <w:sz w:val="22"/>
        </w:rPr>
        <w:t>“Home-based habilitation” means individually tailored supports that assist with the acquisition, retention, or improvement of skills related to living, working, and recreating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Adaptive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with activities to address daily living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with symptom management and participation in mental health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physical and mental health care treatment, communication, and implementation of health care recommendations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and participating in substance use disorder treatment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medication administration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with understanding communication whether verbal or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Community inclusion and active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Adult educational supports, which may include assistance and support with enrolling in educational opportunities and participation in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Social and leisure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Personal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Protective oversight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requirements. </w:t>
      </w:r>
      <w:r>
        <w:rPr>
          <w:rFonts w:ascii="Times New Roman" w:hAnsi="Times New Roman"/>
          <w:b w:val="false"/>
          <w:i w:val="false"/>
          <w:color w:val="000000"/>
          <w:sz w:val="22"/>
        </w:rPr>
        <w:t>Home-based habilitation services shall occur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live in the member’s own home, within the home of the member’s family or legal representative, or in another community living arrangement that meets the criteria in </w:t>
      </w:r>
      <w:hyperlink r:id="rId189">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living with the member’s family or legal representative is not subject to the criteria in 441—paragraphs </w:t>
      </w:r>
      <w:hyperlink r:id="rId190">
        <w:r>
          <w:rPr>
            <w:rStyle w:val="Hyperlink"/>
            <w:rFonts w:ascii="Times New Roman" w:hAnsi="Times New Roman"/>
            <w:b w:val="false"/>
            <w:i w:val="false"/>
            <w:color w:val="000000"/>
            <w:sz w:val="22"/>
          </w:rPr>
          <w:t>77.30(7)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reside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level of service criteria. </w:t>
      </w:r>
      <w:r>
        <w:rPr>
          <w:rFonts w:ascii="Times New Roman" w:hAnsi="Times New Roman"/>
          <w:b w:val="false"/>
          <w:i w:val="false"/>
          <w:color w:val="000000"/>
          <w:sz w:val="22"/>
        </w:rPr>
        <w:t>Home-based habilitation services shall be available to members based on the member’s most current LOCUS/CALOCUS actual disposition score,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Intensive IV residential habilitation services. Intensive IV services are provided 24 hours per day. To be eligible for intensive IV services, a member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LOCUS/CALOCUS actual disposition of level six medically managed  residential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is in need of 24-hour supervised and monitored treatment to maintain or improve functioning and  avoid relapse that would require a higher level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Intensive III services are provided 17 to 24 hours per day. To be eligible for intensive III services, the member must have a LOCUS/CALOCUS actual disposition of level five.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Intensive II services are provided 13 to 16.75 hours per day. To be eligible for intensive II services, the member must have a LOCUS/CALOCUS actual disposition of level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Intensive I services are provided 9 to 12.75 hours per day. To be eligible for intensive I services, the member must have a LOCUS/CALOCUS actual disposition of level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Medium need services are provided 4.25 to 8.75 hours per day as needed. To be eligible for medium need services, the member must have a LOCUS/CALOCUS actual disposition of level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Recovery transitional services are provided 2.25 to 4 hours per day as needed. To be eligible for recovery transitional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recovery services are provided 0.25 to 2 hours per day as needed. To be eligible for high recovery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16 to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16 to 18 years of age shall receive 24-hour site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home-based habilitation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191">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of the service setting being requested must meet the following additional safety and service requirements for serving youth under the age of 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16 needing daily home-based habilitation outside the family home must receive services in a licensed or certified residential-based supported community living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Home-based habilitation payment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and board and maintenance costs, including the cost of rent or mortgage, utilities, telephone, food, household supplies, and building maintenance, upkeep, 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activities associated with vocational services, day care, medical services,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to and from a day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licensed residential care facility of more than 16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facility that provides the same service as part of an inclusive or “bundled” service rate, such as a nursing facility or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protective oversight and supervision may be a component part of home-based habilitation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78.27(8)</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the member’s interests, preferences, skills, strengths and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conditions and supports necessary for full community inclusion and the potential for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and coordination of the member’s individualized daily and weekly day habilitation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Developing skills and competencies necessary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hobbies, leisure, personal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cultural, civic, and religious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adult learning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volunteer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in self-advocacy and self-determination to support the member’s ability to make informed choices about where to live, work, and recreate,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with behavior management and self-regulation,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transportation and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developing and maintaining natural relationships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identifying and using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financial literacy and 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activities deemed necessary to assist the member with full participation in the community, developing social roles and relationships, and increasing independence and the potential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option. </w:t>
      </w:r>
      <w:r>
        <w:rPr>
          <w:rFonts w:ascii="Times New Roman" w:hAnsi="Times New Roman"/>
          <w:b w:val="false"/>
          <w:i w:val="false"/>
          <w:color w:val="000000"/>
          <w:sz w:val="22"/>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Expected outcome of service. </w:t>
      </w:r>
      <w:r>
        <w:rPr>
          <w:rFonts w:ascii="Times New Roman" w:hAnsi="Times New Roman"/>
          <w:b w:val="false"/>
          <w:i w:val="false"/>
          <w:color w:val="000000"/>
          <w:sz w:val="22"/>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Day habilitation shall take place in community-based, nonresidential settings separate from the member’s residence. Family training may be provided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Day habilitation services shall be furnished as specified in the member’s comprehensive service plan. Meals provided as part of day habilitation shall not constitute a full nutritional regimen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A unit of day habilitation is 15 minutes (up to 16 units per day) or a full day (4.25 to 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Day habilitation payment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funding is not available to the individual for the service under these programs shall be maintained in the service plan of each member receiving day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in for-profit organizations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to benefit the day 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78.27(9)</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habilitation. </w:t>
      </w:r>
      <w:r>
        <w:rPr>
          <w:rFonts w:ascii="Times New Roman" w:hAnsi="Times New Roman"/>
          <w:b w:val="false"/>
          <w:i w:val="false"/>
          <w:color w:val="000000"/>
          <w:sz w:val="22"/>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ind w:left="120"/>
        <w:jc w:val="both"/>
      </w:pPr>
      <w:r>
        <w:rPr>
          <w:rFonts w:ascii="Times New Roman" w:hAnsi="Times New Roman"/>
          <w:b w:val="false"/>
          <w:i w:val="false"/>
          <w:color w:val="000000"/>
          <w:sz w:val="22"/>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Meeting with the member and the member’s family, guardian or legal representative to introduce them to supported employment and explore the member’s employment goals and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tours,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Informational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 shadows,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Benefits education and financial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Assistive technology 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exploration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Expected outcome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outcome of the career exploration activity is a written career plan that will guide employment services that lead to community employment or self-employment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Prevocational services shall take place in community-based nonresidential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Prevocational services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funding is not available to the individual for the service under these programs shall be maintained in the service plan of each member receiving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to the individual that duplicate or replace education or related services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prevocational service plan with the goal or purpose of the service documented as maintaining or supporting the individual in continuing prevocational services or any employment situation similar to sheltered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starting prevocational services. For members starting prevocational services, participation in these services is limited to 24 calendar months. This time limit can be extended to continue beyond 24 months if one or more of the following conditions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has requested supported employment services from Medicaid and IVRS in the past 24 months, and the member’s request has been denied or the member has been placed on a waiting list by both Medicaid and IVRS;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participating in career exploration activities as described in subparagraph </w:t>
      </w:r>
      <w:hyperlink r:id="rId192">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enrolled in prevocational services. For members enrolled in prevocational services, participation in these services is limited to 90 business days beyond the completion of the career exploration activity including the development of the career plan described in subparagraph </w:t>
      </w:r>
      <w:hyperlink r:id="rId193">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This time limit can be extended as stated in numbered paragraphs </w:t>
      </w:r>
      <w:hyperlink r:id="rId194">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If the criteria in numbered paragraphs </w:t>
      </w:r>
      <w:hyperlink r:id="rId195">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do not apply, the member will not be reauthorized to continue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Career exploration (e.g., tours, informational interviews, job shadows).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Assistive technology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Trial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Development of visual/traditional résumés.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Job-seeking skills training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Outreach to prospective employers on behalf of the member (e.g., job development; negotiation with prospective employers to customize, create or carve out a position for the member; employer needs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Job analysis (e.g., work site assessment or job accommodations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Identifying and arranging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Career advancement services (e.g., assisting a member in making an upward career move or seeking promotion from an existing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Reemployment services (if necessary due to job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employment support services deemed necessary to enable the member to obtain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Systematic instruction and support during initial on-the-job training including initial on-the-job training to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Engagement of natural supports during initial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Implementation of assistive technology solutions during initial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Initial on-the-job training to stabilization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196">
        <w:r>
          <w:rPr>
            <w:rStyle w:val="Hyperlink"/>
            <w:rFonts w:ascii="Times New Roman" w:hAnsi="Times New Roman"/>
            <w:b w:val="false"/>
            <w:i w:val="false"/>
            <w:color w:val="000000"/>
            <w:sz w:val="22"/>
          </w:rPr>
          <w:t>78.27(10)</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assistance to establish self-employment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Aid to the member in identifying potential business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the development of a business plan, including identifying potential sources of business financing and other assistance in developing and launching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long-term supports necessary for the individual to operate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job coaching. </w:t>
      </w:r>
      <w:r>
        <w:rPr>
          <w:rFonts w:ascii="Times New Roman" w:hAnsi="Times New Roman"/>
          <w:b w:val="false"/>
          <w:i w:val="false"/>
          <w:color w:val="000000"/>
          <w:sz w:val="22"/>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Long-term job coaching services are designed to assist the member with learning and retaining individual employment, resulting in workplace integration, which allows the reduction of long-term job coaching over time. Services are individualized, and service plans are adjusted as support needs change and may include any combination of the following activities with or on behalf of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Job training and systematic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Training and support for use of assistive technology/adaptive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Engagement of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Transportation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Job retention training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Benefits education and ongoing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Supports for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Employer consultation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Negotiation with employer on behalf of the member (e.g., accommodations; employment conditions; access to natural supports; and wage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job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Career exploration services leading to increased hours 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long-term job coaching. Self-employment long-term job coaching may include support to maintain a self-employment opportunity, including home-based self-employment. In addition to the activities listed under subparagraph </w:t>
      </w:r>
      <w:hyperlink r:id="rId197">
        <w:r>
          <w:rPr>
            <w:rStyle w:val="Hyperlink"/>
            <w:rFonts w:ascii="Times New Roman" w:hAnsi="Times New Roman"/>
            <w:b w:val="false"/>
            <w:i w:val="false"/>
            <w:color w:val="000000"/>
            <w:sz w:val="22"/>
          </w:rPr>
          <w:t>78.27(10)</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assistance to maintain self-employment may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Ongoing identification of the supports necessary for the individual to operate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assistance, counseling and guidance to maintain and grow the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Ongoing benefits education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of support for long-term job coaching are based on the identified needs of the member as documented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Small-group supported employment. </w:t>
      </w:r>
      <w:r>
        <w:rPr>
          <w:rFonts w:ascii="Times New Roman" w:hAnsi="Times New Roman"/>
          <w:b w:val="false"/>
          <w:i w:val="false"/>
          <w:color w:val="000000"/>
          <w:sz w:val="22"/>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that leads to individual employment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Small-group supported employment services shall take place in integrated, community-based nonresidential settings separate from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Small-group supported employment services may include any combination of the following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On-the-job training and systematic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Job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Transportation planning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Career exploration services leading to career advancement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individual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shall include the following activities, which shall be described and documented in the member’s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of the career profile, including previous work experience, goals, preferences, strengths, barriers, skills, disclosure preferences, career advancement, education and plan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Integration of IPS team members and the behavioral health team, including routine staffing meetings regarding IPS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Addressing barriers to employment, which may be actual or perceived. Support may include addressing justice system involvement, a lack of work history, limited housing, child care,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Rapid job search and systematic job development. Community and employment supports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Disclosure counseling, to assist the member in making an informed decision on disclosure of a disability to a prospective or current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implementation of job accommodations and assistive technology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benefits counseling. The member must receive information on available work incentive programs, or referral to professional benefits counselors for a personalized work incentives plan for any state or federal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Units of service. Reimbursement is made for each outcome achieved for the member participating in the IPS supported employment model. Outcomes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Outcome #1: Completed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 #2: First day of successful job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Outcome #3: 45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#4: 90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for all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or personal assistance and protective oversight may be a component part of supported employment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Activities performed on behalf of a member receiving long-term job coaching or individual or small-group supported employment shall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Supported employment services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monthly costs of supported employment may not exceed the monthly cap on the cost of waiver services set for the individual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absence of a monthly cap on the cost of waiver services, the total monthly cost of all supported employment services may not exceed the cost limitations published on the Iowa Medicaid fee schedule webpage.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supported employment is limited to 60 hourly units per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job coaching is limited in accordance with </w:t>
      </w:r>
      <w:hyperlink r:id="rId19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is limited to 160 units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Supported employment services payments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the service is not available to the individual under these programs shall be maintained in the service plan of each member receiving individual supported employment or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 payments, not including payments for coworker supports, made to an employer to encourage or subsidize the employer’s participation in a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Subsidies or payments that are passed through to users of supported employment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that is not directly related to a member’s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Tuition for education or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advocacy that is not related to integrated individual employment participation or is not member-specific.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Medicaid funds may not be used to defray the expenses associated with starting up or operating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78.27(11)</w:t>
      </w:r>
      <w:r>
        <w:rPr>
          <w:rFonts w:ascii="Times New Roman" w:hAnsi="Times New Roman"/>
          <w:b w:val="false"/>
          <w:i w:val="false"/>
          <w:color w:val="000000"/>
          <w:sz w:val="22"/>
        </w:rPr>
        <w:t> </w:t>
      </w:r>
      <w:r>
        <w:rPr>
          <w:rFonts w:ascii="Times New Roman" w:hAnsi="Times New Roman"/>
          <w:b w:val="false"/>
          <w:i/>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will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or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 or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service needs exceed the unit or reimbursement maximums for a service as set forth in </w:t>
      </w:r>
      <w:hyperlink r:id="rId19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home- and community-based habilitation service may be reduced when the department determines that continued provision of service at its current level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home- and community-based habilitation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income exceeds the allowable limit, or the member no longer meets other eligibility criteria for the program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are not being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received care in a medical institution for 120 consecutive days in any one stay. When a member has been an inpatient in a medical institution for 120 consecutive days, the department will issue a notice of decision pursuant to </w:t>
      </w:r>
      <w:hyperlink r:id="rId20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to inform the member of the service termination. If the member returns home before the effective date of the notice of decision and the member’s condition has not substantially changed, the decision will be rescinded, and eligibility for home- and community-based habilitation services shall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exceed the unit or reimbursement maximums for a service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Duplication of services provided during the same period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through the interdisciplinary process, requests termination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 or the member refuses to allow documentation of eligibility as to need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shall give notice of any adverse action pursuant to </w:t>
      </w:r>
      <w:hyperlink r:id="rId201">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the right to appeal in accordance with </w:t>
      </w:r>
      <w:hyperlink r:id="rId20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 member is entitled to have a review of the determination of needs-based eligibility or of the actual disposition score by sending a letter requesting a review to Iowa Medicaid at the department’s address. If dissatisfied with that decision, the member may file an appeal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441—78.28</w:t>
      </w:r>
      <w:r>
        <w:rPr>
          <w:rFonts w:ascii="Times New Roman" w:hAnsi="Times New Roman"/>
          <w:b/>
          <w:i w:val="false"/>
          <w:color w:val="000000"/>
          <w:sz w:val="22"/>
        </w:rPr>
        <w:t xml:space="preserve">(249A) </w:t>
      </w:r>
      <w:r>
        <w:rPr>
          <w:rFonts w:ascii="Times New Roman" w:hAnsi="Times New Roman"/>
          <w:b/>
          <w:i w:val="false"/>
          <w:color w:val="000000"/>
          <w:sz w:val="22"/>
        </w:rPr>
        <w:t xml:space="preserve">List of medical services and equipment requiring prior authorization, preprocedure review or preadmission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procedures, and medications prescribed by a physician, PA, or ARNP that are subject to prior authorization or preprocedure review are as follows or as specified in the preferred drug list published by the department pursuant to Iowa Code section </w:t>
      </w:r>
      <w:hyperlink r:id="rId203">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require prior authorization as specified in the preferred drug list published by the department pursuant to Iowa Code section </w:t>
      </w:r>
      <w:hyperlink r:id="rId20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For drugs requiring prior authorization, reimbursement will be made for a 72-hour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will be approved pursuant to the criteria in subrule </w:t>
      </w:r>
      <w:hyperlink r:id="rId20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 Payment will be approved pursuant to the criteria in subrule </w:t>
      </w:r>
      <w:hyperlink r:id="rId206">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on the criteria established by the department. If not approved by Iowa Medicaid, payment will not be made under the program to the physician or to the facility in which the surgery is performed. The criteria are available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Enclosed beds. Payment will be approved pursuant to the criteria in subrule </w:t>
      </w:r>
      <w:hyperlink r:id="rId20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authorization is required for external insulin infusion pumps and is granted according to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Oral nutritional products. Payment will be approved pursuant to the criteria in subrule </w:t>
      </w:r>
      <w:hyperlink r:id="rId20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Vest airway clearance system. Payment will be approved pursuant to the criteria in subrule </w:t>
      </w:r>
      <w:hyperlink r:id="rId209">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DME rebate agreements. Payment will be approved pursuant to the criteria in subrule </w:t>
      </w:r>
      <w:hyperlink r:id="rId21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Medicaid fee schedule amount. Payment will be approved pursuant to the criteria in subrule </w:t>
      </w:r>
      <w:hyperlink r:id="rId211">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Bathtub/shower chair, bench. Payment will be approved pursuant to the criteria in subrule </w:t>
      </w:r>
      <w:hyperlink r:id="rId212">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lift, nonstandard. Payment will be approved pursuant to the criteria in subrule </w:t>
      </w:r>
      <w:hyperlink r:id="rId213">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wheelchair attendant control. Payment will be approved pursuant to the criteria in subrule </w:t>
      </w:r>
      <w:hyperlink r:id="rId214">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Shower commode chair. Payment will be approved pursuant to the criteria in subrule </w:t>
      </w:r>
      <w:hyperlink r:id="rId21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will be approved pursuant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wheelchairs, subject to the requirements of paragraph </w:t>
      </w:r>
      <w:hyperlink r:id="rId216">
        <w:r>
          <w:rPr>
            <w:rStyle w:val="Hyperlink"/>
            <w:rFonts w:ascii="Times New Roman" w:hAnsi="Times New Roman"/>
            <w:b w:val="false"/>
            <w:i w:val="false"/>
            <w:color w:val="000000"/>
            <w:sz w:val="22"/>
          </w:rPr>
          <w:t>78.10(2)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paragraph </w:t>
      </w:r>
      <w:hyperlink r:id="rId217">
        <w:r>
          <w:rPr>
            <w:rStyle w:val="Hyperlink"/>
            <w:rFonts w:ascii="Times New Roman" w:hAnsi="Times New Roman"/>
            <w:b w:val="false"/>
            <w:i w:val="false"/>
            <w:color w:val="000000"/>
            <w:sz w:val="22"/>
          </w:rPr>
          <w:t>78.28(1)</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Buprenorphine,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Buprenorphine and naloxone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Methadone,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Naltrexone,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Naloxone.</w:t>
      </w:r>
    </w:p>
    <w:p>
      <w:pPr>
        <w:spacing w:before="0" w:after="0"/>
        <w:ind w:left="120"/>
        <w:jc w:val="both"/>
      </w:pPr>
      <w:r>
        <w:rPr>
          <w:rFonts w:ascii="Times New Roman" w:hAnsi="Times New Roman"/>
          <w:b w:val="false"/>
          <w:i w:val="false"/>
          <w:color w:val="000000"/>
          <w:sz w:val="22"/>
        </w:rPr>
        <w:t>For the purpose of this subrule, “medication-assisted treatment” means the medically monitored use of certain substance use disorder medications in combination with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78.28(3)</w:t>
      </w:r>
      <w:r>
        <w:rPr>
          <w:rFonts w:ascii="Times New Roman" w:hAnsi="Times New Roman"/>
          <w:b w:val="false"/>
          <w:i w:val="false"/>
          <w:color w:val="000000"/>
          <w:sz w:val="22"/>
        </w:rPr>
        <w:t> </w:t>
      </w:r>
      <w:r>
        <w:rPr>
          <w:rFonts w:ascii="Times New Roman" w:hAnsi="Times New Roman"/>
          <w:b w:val="false"/>
          <w:i w:val="false"/>
          <w:color w:val="000000"/>
          <w:sz w:val="22"/>
        </w:rPr>
        <w:t>Dental services. Dental services requiring prior approval are outlined in the Iowa Medicaid Dental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78.28(4)</w:t>
      </w:r>
      <w:r>
        <w:rPr>
          <w:rFonts w:ascii="Times New Roman" w:hAnsi="Times New Roman"/>
          <w:b w:val="false"/>
          <w:i w:val="false"/>
          <w:color w:val="000000"/>
          <w:sz w:val="22"/>
        </w:rPr>
        <w:t> </w:t>
      </w:r>
      <w:r>
        <w:rPr>
          <w:rFonts w:ascii="Times New Roman" w:hAnsi="Times New Roman"/>
          <w:b w:val="false"/>
          <w:i w:val="false"/>
          <w:color w:val="000000"/>
          <w:sz w:val="22"/>
        </w:rPr>
        <w:t>Optometric services and ophthalmic materials that must be submitted for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Payment will be made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Photochromatic tint. Approval will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Press-on prisms. Approval will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For all of the above, the optometrist shall furnish sufficient information to clearly establish that these procedures are necessary in terms of the visual condition of the patient pursuant to rule </w:t>
      </w:r>
      <w:hyperlink r:id="rId218">
        <w:r>
          <w:rPr>
            <w:rStyle w:val="Hyperlink"/>
            <w:rFonts w:ascii="Times New Roman" w:hAnsi="Times New Roman"/>
            <w:b w:val="false"/>
            <w:i w:val="false"/>
            <w:color w:val="000000"/>
            <w:sz w:val="22"/>
          </w:rPr>
          <w:t>441—78.7</w:t>
        </w:r>
      </w:hyperlink>
      <w:r>
        <w:rPr>
          <w:rFonts w:ascii="Times New Roman" w:hAnsi="Times New Roman"/>
          <w:b w:val="false"/>
          <w:i w:val="false"/>
          <w:color w:val="000000"/>
          <w:sz w:val="22"/>
        </w:rPr>
        <w:t xml:space="preserve">(249A) and subrule </w:t>
      </w:r>
      <w:hyperlink r:id="rId219">
        <w:r>
          <w:rPr>
            <w:rStyle w:val="Hyperlink"/>
            <w:rFonts w:ascii="Times New Roman" w:hAnsi="Times New Roman"/>
            <w:b w:val="false"/>
            <w:i w:val="false"/>
            <w:color w:val="000000"/>
            <w:sz w:val="22"/>
          </w:rPr>
          <w:t>78.1(18)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78.28(5)</w:t>
      </w:r>
      <w:r>
        <w:rPr>
          <w:rFonts w:ascii="Times New Roman" w:hAnsi="Times New Roman"/>
          <w:b w:val="false"/>
          <w:i w:val="false"/>
          <w:color w:val="000000"/>
          <w:sz w:val="22"/>
        </w:rPr>
        <w:t> </w:t>
      </w:r>
      <w:r>
        <w:rPr>
          <w:rFonts w:ascii="Times New Roman" w:hAnsi="Times New Roman"/>
          <w:b w:val="false"/>
          <w:i w:val="false"/>
          <w:color w:val="000000"/>
          <w:sz w:val="22"/>
        </w:rPr>
        <w:t>Hearing aids that must be submitted for prior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hearing aid less than four years old (except when the member is under 21 years of age). The department will approve payment when the original hearing aid is lost or broken beyond repair or there is a significant change in the person’s hearing that would require a different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aid costing more than $650. The department will approve payment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78.28(6)</w:t>
      </w:r>
      <w:r>
        <w:rPr>
          <w:rFonts w:ascii="Times New Roman" w:hAnsi="Times New Roman"/>
          <w:b w:val="false"/>
          <w:i w:val="false"/>
          <w:color w:val="000000"/>
          <w:sz w:val="22"/>
        </w:rPr>
        <w:t> </w:t>
      </w:r>
      <w:r>
        <w:rPr>
          <w:rFonts w:ascii="Times New Roman" w:hAnsi="Times New Roman"/>
          <w:b w:val="false"/>
          <w:i w:val="false"/>
          <w:color w:val="000000"/>
          <w:sz w:val="22"/>
        </w:rPr>
        <w:t>Hospital services requiring prior approval, preprocedure review or preadmission review are outlined in the Acute Hospitals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78.28(7)</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centers are subject to prior approval and preprocedure review as set forth in the Ambulatory Surgical Centers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assertive community treatment (ACT) services require prior approval. </w:t>
      </w:r>
      <w:r>
        <w:rPr>
          <w:rFonts w:ascii="Times New Roman" w:hAnsi="Times New Roman"/>
          <w:b w:val="false"/>
          <w:i w:val="false"/>
          <w:color w:val="000000"/>
          <w:sz w:val="22"/>
        </w:rPr>
        <w:t>EXCEPTION</w:t>
      </w:r>
      <w:r>
        <w:rPr>
          <w:rFonts w:ascii="Times New Roman" w:hAnsi="Times New Roman"/>
          <w:b w:val="false"/>
          <w:i w:val="false"/>
          <w:color w:val="000000"/>
          <w:sz w:val="22"/>
        </w:rPr>
        <w:t>: If ACT services are initiated before Medicaid eligibility is established, prior approval is required for ACT services beginning with the second month following notice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will be granted if ACT services are determined to be medically necessary. Approval will be limited to no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prior approval must be obtained to continue ACT services after the expiration of a previous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78.28(9)</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provided by a licensed child care center for members aged 20 or under require prior approval and will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78.28(10)</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provided by a home health agency provider for persons aged 20 or under require prior approval and will be approved if determined to be medically necessary. Payment will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220">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w:t>
      </w:r>
    </w:p>
    <w:p>
      <w:pPr>
        <w:spacing w:before="0" w:after="0"/>
        <w:ind w:left="120"/>
        <w:jc w:val="both"/>
      </w:pPr>
      <w:r>
        <w:rPr>
          <w:rFonts w:ascii="Times New Roman" w:hAnsi="Times New Roman"/>
          <w:b w:val="false"/>
          <w:i w:val="false"/>
          <w:color w:val="000000"/>
          <w:sz w:val="22"/>
        </w:rPr>
        <w:t>Private duty nursing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that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221">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will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will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will not be granted for treatment plans that exceed 16 hours of home health agency services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78.28(11)</w:t>
      </w:r>
      <w:r>
        <w:rPr>
          <w:rFonts w:ascii="Times New Roman" w:hAnsi="Times New Roman"/>
          <w:b w:val="false"/>
          <w:i w:val="false"/>
          <w:color w:val="000000"/>
          <w:sz w:val="22"/>
        </w:rPr>
        <w:t> </w:t>
      </w:r>
      <w:r>
        <w:rPr>
          <w:rFonts w:ascii="Times New Roman" w:hAnsi="Times New Roman"/>
          <w:b w:val="false"/>
          <w:i w:val="false"/>
          <w:color w:val="000000"/>
          <w:sz w:val="22"/>
        </w:rPr>
        <w:t>Replacement of vibrotactile aids less than four years old will be approved when the original aid is broken beyond repair or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78.28(12)</w:t>
      </w:r>
      <w:r>
        <w:rPr>
          <w:rFonts w:ascii="Times New Roman" w:hAnsi="Times New Roman"/>
          <w:b w:val="false"/>
          <w:i w:val="false"/>
          <w:color w:val="000000"/>
          <w:sz w:val="22"/>
        </w:rPr>
        <w:t> </w:t>
      </w:r>
      <w:r>
        <w:rPr>
          <w:rFonts w:ascii="Times New Roman" w:hAnsi="Times New Roman"/>
          <w:b w:val="false"/>
          <w:i w:val="false"/>
          <w:color w:val="000000"/>
          <w:sz w:val="22"/>
        </w:rPr>
        <w:t>High-technology radiology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22">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radiology procedures require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(MRIs);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 (CTs), including combined abdomen and pelvis CT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tomographic angiographs (CTAs);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Positron emission tomography (PETs);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Magnetic resonance angiography (MRAs).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223">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authorization is not required when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Radiology procedures are billed on a CMS 1500 claim for places of service “hospital inpatient” (POS 21) or “hospital emergency room” (POS 23), or on a UB04 claim with revenue code 45X;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Medicare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radiology procedure is ordered or requested by the department, a state district court, law enforcement, or other similar entity for the purposes of a child abuse/neglect investigation, as documented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will be granted if the procedure requested meets the requirements of </w:t>
      </w:r>
      <w:hyperlink r:id="rId224">
        <w:r>
          <w:rPr>
            <w:rStyle w:val="Hyperlink"/>
            <w:rFonts w:ascii="Times New Roman" w:hAnsi="Times New Roman"/>
            <w:b w:val="false"/>
            <w:i w:val="false"/>
            <w:color w:val="000000"/>
            <w:sz w:val="22"/>
          </w:rPr>
          <w:t>441—subrule 79.10(2)</w:t>
        </w:r>
      </w:hyperlink>
      <w:r>
        <w:rPr>
          <w:rFonts w:ascii="Times New Roman" w:hAnsi="Times New Roman"/>
          <w:b w:val="false"/>
          <w:i w:val="false"/>
          <w:color w:val="000000"/>
          <w:sz w:val="22"/>
        </w:rPr>
        <w:t>, based on diagnosis, symptoms, history of illness, course of treatment, and treatment plan, as documented by the provider requesting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requests for prior approval of radiology procedures must be submitted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an Outpatient Prior Authorization Request form and approved before any claim for payment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441—78.29</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Payment will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and a treatment plan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licensed master social worker must be provided under the supervision of an independent social worker qualified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performed without relationship to a specific condition, risk factor,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and growth groups or marathons.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time spent in face-to-face consultation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Time spent with members shall be rounded to the quarter hour,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441—78.30</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Payment will be made for prenatal, delivery, and postnatal services as outlined in the Birth Centers Provider Manual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441—78.31</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color w:val="000000"/>
          <w:sz w:val="22"/>
        </w:rPr>
        <w:t xml:space="preserve">Covered hospital outpatient services. </w:t>
      </w:r>
      <w:r>
        <w:rPr>
          <w:rFonts w:ascii="Times New Roman" w:hAnsi="Times New Roman"/>
          <w:b w:val="false"/>
          <w:i w:val="false"/>
          <w:color w:val="000000"/>
          <w:sz w:val="22"/>
        </w:rPr>
        <w:t xml:space="preserve">Payment will be approved only for the following outpatient hospital services and medical services when provided on the licensed premises of the hospital. Hospitals with alternate sites approved by the department of inspections, appeals, and licensing are acceptable sites. All outpatient services listed in paragraphs </w:t>
      </w:r>
      <w:hyperlink r:id="rId225">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are subject to a random sample retrospective review for medical necessity by Iowa Medicaid. All services may also be subject to a more intensive retrospective review if abuse is suspected. Services in paragraphs </w:t>
      </w:r>
      <w:hyperlink r:id="rId226">
        <w:r>
          <w:rPr>
            <w:rStyle w:val="Hyperlink"/>
            <w:rFonts w:ascii="Times New Roman" w:hAnsi="Times New Roman"/>
            <w:b w:val="false"/>
            <w:i w:val="false"/>
            <w:color w:val="000000"/>
            <w:sz w:val="22"/>
          </w:rPr>
          <w:t>78.31(1)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provided in hospitals on an outpatient basis and are subject to no further limitations except medical necessity of the service.</w:t>
      </w:r>
    </w:p>
    <w:p>
      <w:pPr>
        <w:spacing w:before="0" w:after="0"/>
        <w:ind w:left="120"/>
        <w:jc w:val="both"/>
      </w:pPr>
      <w:r>
        <w:rPr>
          <w:rFonts w:ascii="Times New Roman" w:hAnsi="Times New Roman"/>
          <w:b w:val="false"/>
          <w:i w:val="false"/>
          <w:color w:val="000000"/>
          <w:sz w:val="22"/>
        </w:rPr>
        <w:t xml:space="preserve">Services listed in paragraphs </w:t>
      </w:r>
      <w:hyperlink r:id="rId227">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shall be provided by hospitals on an outpatient basis and must be certified by the department before payment may be made. Other limitations apply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Laboratory, X-ray and other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or family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Follow-up or after-care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Physical medicine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for persons aged 20 and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Professional direction. </w:t>
      </w:r>
      <w:r>
        <w:rPr>
          <w:rFonts w:ascii="Times New Roman" w:hAnsi="Times New Roman"/>
          <w:b w:val="false"/>
          <w:i w:val="false"/>
          <w:color w:val="000000"/>
          <w:sz w:val="22"/>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Goals and objectives. </w:t>
      </w:r>
      <w:r>
        <w:rPr>
          <w:rFonts w:ascii="Times New Roman" w:hAnsi="Times New Roman"/>
          <w:b w:val="false"/>
          <w:i w:val="false"/>
          <w:color w:val="000000"/>
          <w:sz w:val="22"/>
        </w:rPr>
        <w:t xml:space="preserve">The goals and objectives of the program must be clearly stated. Paragraphs </w:t>
      </w:r>
      <w:hyperlink r:id="rId228">
        <w:r>
          <w:rPr>
            <w:rStyle w:val="Hyperlink"/>
            <w:rFonts w:ascii="Times New Roman" w:hAnsi="Times New Roman"/>
            <w:b w:val="false"/>
            <w:i w:val="false"/>
            <w:color w:val="000000"/>
            <w:sz w:val="22"/>
          </w:rPr>
          <w:t>78.31(2)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and the organization and administration of the program must clearly contribute to the fulfillment of the stated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modalities used. </w:t>
      </w:r>
      <w:r>
        <w:rPr>
          <w:rFonts w:ascii="Times New Roman" w:hAnsi="Times New Roman"/>
          <w:b w:val="false"/>
          <w:i w:val="false"/>
          <w:color w:val="000000"/>
          <w:sz w:val="22"/>
        </w:rPr>
        <w:t>The service must employ multiple treatment modalities and professional disciplines. The modalities and disciplines employed must be clearly related to the condition or disease being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and continuing treatment of patients. </w:t>
      </w:r>
      <w:r>
        <w:rPr>
          <w:rFonts w:ascii="Times New Roman" w:hAnsi="Times New Roman"/>
          <w:b w:val="false"/>
          <w:i w:val="false"/>
          <w:color w:val="000000"/>
          <w:sz w:val="22"/>
        </w:rPr>
        <w:t>The condition or disease proposed to be treated must be clearly stated. Any indications for treatment or contraindications for treatment must be set forth together with criteria for determining the continued medical necessity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Length of program. </w:t>
      </w:r>
      <w:r>
        <w:rPr>
          <w:rFonts w:ascii="Times New Roman" w:hAnsi="Times New Roman"/>
          <w:b w:val="false"/>
          <w:i w:val="false"/>
          <w:color w:val="000000"/>
          <w:sz w:val="22"/>
        </w:rPr>
        <w:t>There must be established parameters that limit the program either in terms of its overall length or in terms of number of visits,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services. </w:t>
      </w:r>
      <w:r>
        <w:rPr>
          <w:rFonts w:ascii="Times New Roman" w:hAnsi="Times New Roman"/>
          <w:b w:val="false"/>
          <w:i w:val="false"/>
          <w:color w:val="000000"/>
          <w:sz w:val="22"/>
        </w:rPr>
        <w:t>The services provided by the program must be monitored and evaluated to determine the degree to which patients are receiving accurate assessments and effective treatment.</w:t>
      </w:r>
    </w:p>
    <w:p>
      <w:pPr>
        <w:spacing w:before="0" w:after="0"/>
        <w:ind w:left="120"/>
        <w:jc w:val="both"/>
      </w:pPr>
      <w:r>
        <w:rPr>
          <w:rFonts w:ascii="Times New Roman" w:hAnsi="Times New Roman"/>
          <w:b w:val="false"/>
          <w:i w:val="false"/>
          <w:color w:val="000000"/>
          <w:sz w:val="22"/>
        </w:rPr>
        <w:t>The monitoring of the services must be an ongoing plan and systematic process to identify problems in patient care or opportunities to improve patient care.</w:t>
      </w:r>
    </w:p>
    <w:p>
      <w:pPr>
        <w:spacing w:before="0" w:after="0"/>
        <w:ind w:left="120"/>
        <w:jc w:val="both"/>
      </w:pPr>
      <w:r>
        <w:rPr>
          <w:rFonts w:ascii="Times New Roman" w:hAnsi="Times New Roman"/>
          <w:b w:val="false"/>
          <w:i w:val="false"/>
          <w:color w:val="000000"/>
          <w:sz w:val="22"/>
        </w:rPr>
        <w:t>The monitoring and evaluation of the services are based on the use of clinical indicators that reflect those components of patient care important to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outpatient administration of a vaccine covered under the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 xml:space="preserve">Hospital outpatient programs listed in paragraphs </w:t>
      </w:r>
      <w:hyperlink r:id="rId229">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must submit an application to Iowa Medicaid for certification before payment will be made. Iowa Medicaid will review the application against the requirements for the specific type of outpatient service and notify the provider whether certification has been approved.</w:t>
      </w:r>
    </w:p>
    <w:p>
      <w:pPr>
        <w:spacing w:before="0" w:after="0"/>
        <w:ind w:left="120"/>
        <w:jc w:val="both"/>
      </w:pPr>
      <w:r>
        <w:rPr>
          <w:rFonts w:ascii="Times New Roman" w:hAnsi="Times New Roman"/>
          <w:b w:val="false"/>
          <w:i w:val="false"/>
          <w:color w:val="000000"/>
          <w:sz w:val="22"/>
        </w:rPr>
        <w:t>Applications will consist of a narrative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Documented need for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program fits with the rest of the hospital, the number of staff, staff credentials, and the staff’s relationship to the program, e.g., hospital employee, contractual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including admission criteria, patient assessment, treatment plan, discharge plan and postdischarge services, and the scope of services provided, including treatment modalities.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 and whether the facility is part of the hospital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specific types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joint commission. In addition to certification by the department, substance use disorder programs must also be approved by 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The services must be designed to identify and respond to the biological, psychological and social antecedents, influences and consequences associated with the recipient’s dependence.</w:t>
      </w:r>
    </w:p>
    <w:p>
      <w:pPr>
        <w:spacing w:before="0" w:after="0"/>
        <w:ind w:left="120"/>
        <w:jc w:val="both"/>
      </w:pPr>
      <w:r>
        <w:rPr>
          <w:rFonts w:ascii="Times New Roman" w:hAnsi="Times New Roman"/>
          <w:b w:val="false"/>
          <w:i w:val="false"/>
          <w:color w:val="000000"/>
          <w:sz w:val="22"/>
        </w:rPr>
        <w:t>These needed services must be provided either directly by the facility or through referral, consultation or contractual arrangements or agreements.</w:t>
      </w:r>
    </w:p>
    <w:p>
      <w:pPr>
        <w:spacing w:before="0" w:after="0"/>
        <w:ind w:left="120"/>
        <w:jc w:val="both"/>
      </w:pPr>
      <w:r>
        <w:rPr>
          <w:rFonts w:ascii="Times New Roman" w:hAnsi="Times New Roman"/>
          <w:b w:val="false"/>
          <w:i w:val="false"/>
          <w:color w:val="000000"/>
          <w:sz w:val="22"/>
        </w:rPr>
        <w:t>Special treatment needs of recipients by reason of age, sex,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on the diagnostic and treatment staff, either through employment by the facility (full-time or part-time), contract or referral, are a physician (M.D. or D.O.), a licensed psychologist and a substance use counselor certified by the Iowa board of certification. Psychiatric consultation must be available and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history of the use of alcohol and other drugs including age of onset, duration, patterns, and consequences of use; use of alcohol and drugs by family members and types of and responses to previous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comprehensive medical history and physical examination including the history of physical problems associated with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systematic mental status examination with special emphasis on immediate recall and recent and remote memory.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family’s history of substance use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and in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Interviews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patient’s 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Admission criteria. Both of the first two criteria and one additional criterion from the following list must be present for a patient to be accepted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Alcohol or drugs taken in greater amounts over a longer period than the person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or more unsuccessful efforts to cut down or control use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Continued alcohol or drug use despite knowledge of having a persistent or recurrent family, social, occupational, psychological, or physical problem that is caused or exacerbated by the use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Marked tolerance: the need for markedly increased amounts of alcohol or drugs (i.e., at least a 50 percent increase) in order to achieve intoxication or desired effect or markedly diminished effect with continued use of same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Characteristic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Alcohol or drugs taken often to relieve or avoid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 to determine current clinical problems, needs, and responses to treatment. The plan shall include documentation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needs and, when appropriate and available, the family’s perception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developed in collaboration with the patient and, as appropriate and available, with the patient’s written verbal permission with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reimburse for a maximum of 28 treatment days. Payment beyond 28 days is made when documentation indicates that the patient has not reached an exit level. If an individual has completed all or part of the basic 28-day program, a repeat of the program will be reimbursed with justification. The program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Eating disorders are characterized by gross disturbances in eating behavior. Eating disorders include anorexia nervosa or bulimia nervosa. Compulsive overeaters are not approved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family history as well as self-assessment regarding chronic dieting, obesity, anorexia, bulimia, drug abuse, alcohol problems, depression, hospitalization for psychiatric reasons, and threatened or attempted suicide.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history of exercise behavior, including type, frequency,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complete history of current alcohol and other drug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suicidal thoughts or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Sexual history, including sexual preference and activity. Sexual interest currently as compared to prior to the eating disorder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History of experiencing physical or sexual (incest or rape)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History of other counseling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Appropriate psychological assessment, including psychological orientation to the above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history, including a physical examination, covering the information listed in subparagraph </w:t>
      </w:r>
      <w:hyperlink r:id="rId230">
        <w:r>
          <w:rPr>
            <w:rStyle w:val="Hyperlink"/>
            <w:rFonts w:ascii="Times New Roman" w:hAnsi="Times New Roman"/>
            <w:b w:val="false"/>
            <w:i w:val="false"/>
            <w:color w:val="000000"/>
            <w:sz w:val="22"/>
          </w:rPr>
          <w:t>78.31(4)</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or school performance history,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and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Interview of family members and significant others as available with the patient’s written or verbal permission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In order to be accepted for treatment, the patient shall meet the diagnostic criteria for anorexia nervosa or bulimia nervosa as established by the DSM (Diagnostic and Statistical Manual of Mental Disorders as amended to July 1, 2026) published by the American Psychiatric Association. 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 The need for treatment may be further substantiated by substance use, out-of-control spending, incidence of stealing to support habit, or compulsive gambling. The symptoms shall have been present for at least six months and three of the following criteria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cardiovascular factors including hypotension, hypertension, arrhythmia, ipecac poisoning, fainting, or bradycardia.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Renal considerations including diuretic abuse, dehydration, elevated BUN, renal calculi, edema, or hypokalemia.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Gastrointestinal factors including sore throats, Mallory-Weiss tears, decreased gastric emptying, constipation, abnormal liver enzymes, rectal bleeding, laxative abuse, or esophagitis.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Hematologic considerations including anemia, leukopenia, or thrombocytopenia.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Ear, nose, and throat factors including headaches or dizziness.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Skin considerations including lanugo or dry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Aspiration pneumonia, a pulmonary factor.</w:t>
      </w:r>
    </w:p>
    <w:p>
      <w:pPr>
        <w:spacing w:before="0" w:after="0"/>
        <w:ind w:left="120"/>
        <w:jc w:val="both"/>
      </w:pPr>
      <w:r>
        <w:rPr>
          <w:rFonts w:ascii="Times New Roman" w:hAnsi="Times New Roman"/>
          <w:b w:val="false"/>
          <w:i w:val="false"/>
          <w:color w:val="000000"/>
          <w:sz w:val="22"/>
        </w:rPr>
        <w:t>The presence of severe symptoms and complications as evaluated and documented by the medical director may require a period of hospitalization to establish physical or emotional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 to determine current clinical problems, needs, and responses to treatment. The plan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perceptions of needs and, when appropriate and available, the family’s perceptions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plan. Plans for discharge shall meet the requirements for discharge plans for alcohol and substance use patients in subparagraph </w:t>
      </w:r>
      <w:hyperlink r:id="rId231">
        <w:r>
          <w:rPr>
            <w:rStyle w:val="Hyperlink"/>
            <w:rFonts w:ascii="Times New Roman" w:hAnsi="Times New Roman"/>
            <w:b w:val="false"/>
            <w:i w:val="false"/>
            <w:color w:val="000000"/>
            <w:sz w:val="22"/>
          </w:rPr>
          <w:t>78.31(4)</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Eating disorder programs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Family counseling groups held in conjunction with the eating disorders program will be part of the overall treatment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staff. Professional disciplines who must be represented on the treatment staff, either by employment by the facility (full-time or part-time), contract or referral,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one physician, ARNP, or PA responsible for responding to emergencies must be physically present in the hospital when patients are receiving cardiac rehabilitation services. The physician, ARNP, or PA must be trained and certified at least to the level of basic life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cardiac rehabilitation nurse shall carry out the exercise prescription after assessment of the patient. The nurse shall be able to interpret cardiac dysrhythmia and be able to initiate emergency action if necessary. The nurse shall assess and implement a plan of care for cardiac risk factor modification. The nurse shall have at least one year of experience in a coronary care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physical therapist shall offer expertise in unusual exercise prescriptions where a patient has an unusual exercise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dietitian shall assess the dietary needs of persons and appropriately instruct them on their prescribed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social worker shall provide counseling as appropriate and facilitate a spouse support group. A licensed occupational therapist shall be available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must be referred by the attending physician. The following conditions are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Postmyocardial infarction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Postcardiac surgery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Poststreptokinase.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Postpercutaneous transluminal angioplasty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with severe angina being treated medically because of client or doctor preference or inoperable cardiac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records. Medical records for each cardiac rehabilitation patient shall consist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Electrocardiogram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History and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Angiogram report,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Operative report,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Preadmission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Exercise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Rehabilitation plan, including participant’s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for exercise sessions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Nurse’s progress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Discharge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The patient will be discharged from the program when the physician, staff, and patient agree that the work level is functional for them and little benefit could be derived from further continuation of the program, dysrhythmia disturbances are resolved, and appropriate cardiovascular response to exercise is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of services. The program should be monitored by the hospital on a periodic basis using measuring criteria for evaluating cardiac rehabilitation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Payment will be made for a maximum of three visits per week for a period of 12 weeks. Payment beyond 12 weeks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ind w:left="120"/>
        <w:jc w:val="both"/>
      </w:pPr>
      <w:r>
        <w:rPr>
          <w:rFonts w:ascii="Times New Roman" w:hAnsi="Times New Roman"/>
          <w:b w:val="false"/>
          <w:i w:val="false"/>
          <w:color w:val="000000"/>
          <w:sz w:val="22"/>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 The diagnostic and treatment staff shall consist of a physician, a psychologist, social workers or counselors meeting the requirements for “mental health professionals” as set forth in rule </w:t>
      </w:r>
      <w:hyperlink r:id="rId232">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history of the mental health problem, including age of onset, duration, patterns of symptoms, consequences of symptoms, and responses to previous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comprehensive clinical history, including the history of physical problems associated with the mental health problem. Appropriate referral for physical examination for determination of any communicable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systematic mental health examination, with special emphasis on any change in cognitive, social or emotional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family’s history of mental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 including family and peer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in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Covered services. Services covered for the treatment of psychiatric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and group therapy with physicians, psychologists, social workers, counselors, or psychiatric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and biologicals furnished to outpatients for therapeutic purposes only if they are of the type that cannot be self-administered and are not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Activity therapies that are individualized and essential for the treatment of the patient’s condition. The treatment plan must clearly justify the need for each particular therapy utilized and explain how it fits into the patient’s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Family counseling services are covered only if the primary purpose of the counseling is the treatment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 components may include individual and group therapy, reality orientation, stress management and medication management.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provided for a period for four to eight hours per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Day treatment services means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233">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apply to hospitals. All conditions of the day treatment program for persons aged 20 or under as outlined in subrule </w:t>
      </w:r>
      <w:hyperlink r:id="rId234">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be applicable for the partial hospitalization program for persons aged 20 or under with the exception that the maximum hours shall be 25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coverage. The following are generally not covered, except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Activity therapies, group activities, or other services and programs that are primarily recreational or diversional in nature. Outpatient psychiatric day treatment programs that consist entirely of activity therapies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actual time the services were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Who rendered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setting in which the services were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time it took to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services to the treatment regimen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Updates describing the patient’s progress.</w:t>
      </w:r>
    </w:p>
    <w:p>
      <w:pPr>
        <w:spacing w:before="0" w:after="0"/>
        <w:ind w:left="120"/>
        <w:jc w:val="both"/>
      </w:pPr>
      <w:r>
        <w:rPr>
          <w:rFonts w:ascii="Times New Roman" w:hAnsi="Times New Roman"/>
          <w:b w:val="false"/>
          <w:i w:val="false"/>
          <w:color w:val="000000"/>
          <w:sz w:val="22"/>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be free of any underlying psychosis or severe neurosis.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cannot be toxic on any addictive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must be capable of self-care, including being able to get to meals and to perform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 to determine current clinical problems, needs, and responses to treatment. The plan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needs and, when appropriate and available, the family’s perception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developed in collaboration with the patient and, as appropriate and available, with the patient’s written verbal permission with the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ind w:left="120"/>
        <w:jc w:val="both"/>
      </w:pPr>
      <w:r>
        <w:rPr>
          <w:rFonts w:ascii="Times New Roman" w:hAnsi="Times New Roman"/>
          <w:b w:val="false"/>
          <w:i w:val="false"/>
          <w:color w:val="000000"/>
          <w:sz w:val="22"/>
        </w:rPr>
        <w:t>A repeat of the entire program for any patient will be covered only if a different disease process is causing the pain or a significant change in life situation can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An outpatient diabetes self-management education program shall provide instruction that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have Type I or Type II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be referred by the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shall demonstrate an ability to follow through with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assessment. An individualized and documented assessment of needs shall be developed with the patient’s participation. Follow-up assessments, planning and identification of problems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and limitations on payment. Medicaid will pay for a diabetic self-management education program. Diabetic education programs will include follow-up assessments at 3 and 12 months without 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must occur initially,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diagnostic workup that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Behavioral considerations, including an emotional screening assessment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Criteria include a patient’s being diagnosed and symptomatic of chronic obstructive pulmonary disease (COPD); having cardiac stability and social, family, and financial resources; having the ability to tolerate periods of sitting time; and being a nonsmoker for six months or, if a smoker, willingness to quit and having a physician’s order to participate anyway. Factors that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Individualized long- and short-term goals will be developed for each patient. The treatment goals will be based on the problems and needs identified in the assessment and specify the regular times at which the plan will be reassessed to determine current clinical problems, needs, and responses to treatment. The patients and their families need to help determine and fully understand the goals, so that they realistically approach the treatment phase. Changes in treatment must be documented. Components of pulmonary rehabilitation to be included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therapy and relaxation techniques,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Exercise conditioning or physical conditioning for those with exercise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Respiratory therapy, education, an emphasis on the importance of smoking cessation,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Nutritional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Ongoing care will generally be the responsibility of the primary care physician. Periodic reassessment will be conducted to evaluate progress and allow for educational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25 treatment days. Payment beyond 25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441—78.32</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Payment will be made for physical therapy, occupational therapy, psychological evaluations and counseling, psychotherapy, speech-language therapy, and audiological, nursing, and vision services provided by an area education agency (AEA). Services shall be provided directly by the AEA or through contractual arrangement with the AEA.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441—78.33</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 xml:space="preserve">Payment will be approved for targeted case management services that are provided pursuant to </w:t>
      </w:r>
      <w:hyperlink r:id="rId235">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Members who are 18 years of age or over and have a primary diagnosis of intellectual disability, developmental disabilities, or chronic mental illness as defined in rule </w:t>
      </w:r>
      <w:hyperlink r:id="rId236">
        <w:r>
          <w:rPr>
            <w:rStyle w:val="Hyperlink"/>
            <w:rFonts w:ascii="Times New Roman" w:hAnsi="Times New Roman"/>
            <w:b w:val="false"/>
            <w:i w:val="false"/>
            <w:color w:val="000000"/>
            <w:sz w:val="22"/>
          </w:rPr>
          <w:t>441—90.1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who are under 18 years of age and are eligible to receive services under the HCBS intellectual disability waiver or children’s mental health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services. </w:t>
      </w:r>
      <w:r>
        <w:rPr>
          <w:rFonts w:ascii="Times New Roman" w:hAnsi="Times New Roman"/>
          <w:b w:val="false"/>
          <w:i w:val="false"/>
          <w:color w:val="000000"/>
          <w:sz w:val="22"/>
        </w:rPr>
        <w:t xml:space="preserve">Payment will be approved for the following services to members eligible for HCBS health and disability waiver services as established in </w:t>
      </w:r>
      <w:hyperlink r:id="rId237">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 For the purposes of this rule, “HCBS Provider Manual” means the department’s manual that outlines provider-specific policies applicable to providers of HCBS services. The manual is available on the department’s website. All references to the HCBS Provider Manual herein are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Home maintenance support services encompass assistance required to maintain the participant’s home as a clean, sanitary, and safe environment, provided when neither the participant nor any household person is capable of performing these tasks and no other relative, caregiver, or landlord is responsible for them. These services are particularly essential when the participant lives alone or when the usual caregiver needs support in performing these functions. “Usual caregiver” means an unpaid person who resides with the member and is available on a 24-hour per-day basis to assume responsibility for the care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may involve tasks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Essential shopping, such as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Limited housecleaning, such as maintenance cleaning such as vacuuming, dusting, scrubbing floors, defrosting refrigerators, cleaning stoves, cleaning medical equipment, washing and mending clothes, washing personal items used by the client,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Window and door maintenance, such as hanging screen windows and doors, replacing window panes, and washing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Minor repairs to walls, floors, stairs, railings,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Heavy cleaning, such as cleaning attics or basements to remove fire hazards, moving heavy furniture, extensive wall washing, floor care or painting and trash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Mowing lawns and removing snow and ice from sidewalks and driveways.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Tree or bush trimming when the tree or bush impairs safe navigation of the exterior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Pest eradication and one-time cleaning following the pest eradication necessary for the person’s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Excluded services and costs. Services, activities, costs, and time that are not covered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Tree trimming.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Trash burning.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an extension of the state plan and are personal or direct care services provided to the member in the member’s home that are not otherwise payable under Medicaid as set forth in rule </w:t>
      </w:r>
      <w:hyperlink r:id="rId238">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A visit is defined as 15 minutes to 120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Components of the service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Helping a member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Helping a member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Helping a member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Helping a member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ordered by the physician that are ordinarily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that are essential to the member’s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Skilled nursing care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Supports provided during day care are protective oversight, supervision, and support with activities of daily living (ADLs) and instrumental activities of daily living (IADLs). Included are personal care (i.e., ambulation, toileting, feeding, assisting with medications), behavioral support, or intermittent health-related cares not otherwise paid under other waiver or state plan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(up to four units per day), a half day (1.25 to 4 hours per day), a full day (4.25 to 8 hours per day), or an extended day (8.25 to 12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that are included in the plan of treatment approved by the physician and that are provided by licensed nurses to members in the home and community. The services shall be reasonable and necessary to the treatment of an illness or injury and include all nursing tasks recognized by the Iowa board of nursing.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an attendant care or supported community living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239">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240">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78.34(6)</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and substance use disorder services provided to the member and caregiver by a mental health professional as defined in rule </w:t>
      </w:r>
      <w:hyperlink r:id="rId241">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78.34(7)</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by a person to help a member with self-care tasks that the member would typically do independently if the member were otherwise able. Covered service activities are limited to the nonskilled activities listed in paragraph </w:t>
      </w:r>
      <w:hyperlink r:id="rId242">
        <w:r>
          <w:rPr>
            <w:rStyle w:val="Hyperlink"/>
            <w:rFonts w:ascii="Times New Roman" w:hAnsi="Times New Roman"/>
            <w:b w:val="false"/>
            <w:i w:val="false"/>
            <w:color w:val="000000"/>
            <w:sz w:val="22"/>
          </w:rPr>
          <w:t>78.34(7)</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243">
        <w:r>
          <w:rPr>
            <w:rStyle w:val="Hyperlink"/>
            <w:rFonts w:ascii="Times New Roman" w:hAnsi="Times New Roman"/>
            <w:b w:val="false"/>
            <w:i w:val="false"/>
            <w:color w:val="000000"/>
            <w:sz w:val="22"/>
          </w:rPr>
          <w:t>78.34(7)</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sign, and date an HCBS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attendant care as allowed by </w:t>
      </w:r>
      <w:hyperlink r:id="rId244">
        <w:r>
          <w:rPr>
            <w:rStyle w:val="Hyperlink"/>
            <w:rFonts w:ascii="Times New Roman" w:hAnsi="Times New Roman"/>
            <w:b w:val="false"/>
            <w:i w:val="false"/>
            <w:color w:val="000000"/>
            <w:sz w:val="22"/>
          </w:rPr>
          <w:t>441—paragraph 79.10(7)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attendant care services shall be provided under the supervision of the member’s physician or a licensed nurse or licensed therapist working under the direction of the member’s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attendant care provider shall document evidence of compliance with the requirements of this chapter and rule </w:t>
      </w:r>
      <w:hyperlink r:id="rId24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provider. Providers must use an electronic visit verification system that captures all documentation requirements of the Attendant Care Service Record or use a form prescribed by the department. Any service component that is not documented in accordance with rule </w:t>
      </w:r>
      <w:hyperlink r:id="rId24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will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attendant care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requiring specially trained caregivers beyond what is normally available in a day care setting for medical needs that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24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 or work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248">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 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will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24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will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home and vehicle modifications are limited to the service limitations published on the Iowa Medicaid fee schedule webpage.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system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will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will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Academies of Sciences, Engineering, and Medicine. The meal may also be a liquid supplement that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78.34(13)</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 xml:space="preserve">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CCO is available to any member receiving the AIDS/HIV, brain injury, elderly, health and disability, intellectual disability, or physical disability waiver programs who has the ability and desire to perform all budget authority tasks identified in paragraph </w:t>
      </w:r>
      <w:hyperlink r:id="rId250">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w:t>
      </w:r>
      <w:hyperlink r:id="rId251">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who delegates the budget or employer authority tasks identified in paragraph </w:t>
      </w:r>
      <w:hyperlink r:id="rId252">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“i.”</w:t>
      </w:r>
      <w:r>
        <w:rPr>
          <w:rFonts w:ascii="Times New Roman" w:hAnsi="Times New Roman"/>
          <w:b w:val="false"/>
          <w:i w:val="false"/>
          <w:color w:val="000000"/>
          <w:sz w:val="22"/>
        </w:rPr>
        <w:t xml:space="preserve"> Components of this service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As a condition of participating in the CCO, a member shall sign the HCBS Consumer Choices Informed Consent and Risk Agreement to document that the member has been informed of the responsibilities and risks of electing the 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budget amount. </w:t>
      </w:r>
      <w:r>
        <w:rPr>
          <w:rFonts w:ascii="Times New Roman" w:hAnsi="Times New Roman"/>
          <w:b w:val="false"/>
          <w:i w:val="false"/>
          <w:color w:val="000000"/>
          <w:sz w:val="22"/>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health and disability, elderly, AIDS/HIV, brain injury, and physical disability waivers are outlined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an average unit cost for each service outlined in the HCBS Provider Manual based on actual unit costs from the previous fiscal year plus a cost-of-living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aggregate, costs for individual budget services shall not exceed the current costs of waiver program services. In order to maintain cost neutrality, the department will apply a utilization adjustment factor to the amount of service authorized in the member’s service plan before calculating the value of that service to be included in the individual budget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will compute the utilization adjustment factor for each service by dividing the net costs of all claims paid for the service by the total of the authorized costs for that service, using at least 12 consecutive months of aggregate service data. The utilization adjustment factor will be no lower than 60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budgets for respite services will be computed based on the average cost for services outlined in the HCBS Provider Manual. Respite services are not subject to the utilization adjustment factor in subparagraph </w:t>
      </w:r>
      <w:hyperlink r:id="rId253">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Anticipated costs for home and vehicle modification, assistive devices, and specialized medical equipment are not subject to the average cost in subparagraph </w:t>
      </w:r>
      <w:hyperlink r:id="rId254">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the utilization adjustment factor in subparagraph </w:t>
      </w:r>
      <w:hyperlink r:id="rId255">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(3).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Iowa Medicaid or the MCO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individual budget amount may be changed only at the first of the month and shall remain fixed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components. </w:t>
      </w:r>
      <w:r>
        <w:rPr>
          <w:rFonts w:ascii="Times New Roman" w:hAnsi="Times New Roman"/>
          <w:b w:val="false"/>
          <w:i w:val="false"/>
          <w:color w:val="000000"/>
          <w:sz w:val="22"/>
        </w:rPr>
        <w:t xml:space="preserve">To participate in the CCO, a member must choose to hire an independent support broker and must work with a financial management service that is enrolled as a Medicaid provider. Before hiring the independent support broker, the member shall receive the results of the background check conducted pursuant to </w:t>
      </w:r>
      <w:hyperlink r:id="rId256">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 components. </w:t>
      </w:r>
      <w:r>
        <w:rPr>
          <w:rFonts w:ascii="Times New Roman" w:hAnsi="Times New Roman"/>
          <w:b w:val="false"/>
          <w:i w:val="false"/>
          <w:color w:val="000000"/>
          <w:sz w:val="22"/>
        </w:rPr>
        <w:t>A member who elects the CCO may purchase the following goods, services and supports, which shall be provided in the member’s home or at an integrated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Promote opportunities for community living and inclusion.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 independence or substitute for human assistance, to the extent the expenditures would otherwise be made for that human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accommodated within the member’s budget without compromising the member’s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provided to the member or directed exclusively toward the benefit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the least costly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 be available through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Development of the individual budget. </w:t>
      </w:r>
      <w:r>
        <w:rPr>
          <w:rFonts w:ascii="Times New Roman" w:hAnsi="Times New Roman"/>
          <w:b w:val="false"/>
          <w:i w:val="false"/>
          <w:color w:val="000000"/>
          <w:sz w:val="22"/>
        </w:rPr>
        <w:t>The independent support broker shall assist the member in developing and implementing the member’s individual budget. The individual budget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any optional service component chosen by the member as described in paragraph </w:t>
      </w:r>
      <w:hyperlink r:id="rId257">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Items and services not covered by the individual budget are outlined in the HCBS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Iowa Medicaid or the member’s MCO. The authorized amount shall not be used for anything other than the specific modification, assistive device, or specialized medical equipment as outlined in the HCBS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set aside in a savings plan to reserve funds for the future purchase of self-directed personal care, individual-directed goods and services, or self-directed community supports and services as defined in paragraph </w:t>
      </w:r>
      <w:hyperlink r:id="rId258">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savings plan shall meet the requirements in paragraph </w:t>
      </w:r>
      <w:hyperlink r:id="rId259">
        <w:r>
          <w:rPr>
            <w:rStyle w:val="Hyperlink"/>
            <w:rFonts w:ascii="Times New Roman" w:hAnsi="Times New Roman"/>
            <w:b w:val="false"/>
            <w:i w:val="false"/>
            <w:color w:val="000000"/>
            <w:sz w:val="22"/>
          </w:rPr>
          <w:t>78.34(13)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Savings plan. </w:t>
      </w:r>
      <w:r>
        <w:rPr>
          <w:rFonts w:ascii="Times New Roman" w:hAnsi="Times New Roman"/>
          <w:b w:val="false"/>
          <w:i w:val="false"/>
          <w:color w:val="000000"/>
          <w:sz w:val="22"/>
        </w:rPr>
        <w:t>A member savings plan must be in writing and be approved before the start of the savings plan by the department for fee-for-service members or by the member’s MCO for members in managed care. Budget amounts allocated to the savings plan must result from efficiencies in meeting the member’s service needs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savings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goods, services, supports or supplies to be purchased through the savings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individual budget allocated each month to the savings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individual budget allocated each month to meet the member’s identified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the member’s assessed needs will continue to be met through the individual budget when funds are placed in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Specific time spans for accumulating the savings allocation, not to exceed the member’s current service plan year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used to meet a member’s identified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medically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approved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Budget authority. </w:t>
      </w:r>
      <w:r>
        <w:rPr>
          <w:rFonts w:ascii="Times New Roman" w:hAnsi="Times New Roman"/>
          <w:b w:val="false"/>
          <w:i w:val="false"/>
          <w:color w:val="000000"/>
          <w:sz w:val="22"/>
        </w:rPr>
        <w:t>The member shall have authority over the individual budget authorized by the department or MCO to perform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 with entities to provide services and supports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26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Authorize payment for optional service components identified in the individual budget. When the member’s guardian or legal representative is a paid employee, payment authorization for optional service components must be delegated to a representative pursuant to paragraph </w:t>
      </w:r>
      <w:hyperlink r:id="rId261">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Reallocate funds among services included in the budget. Every purchase of a good or service must be identified and approved in the individual budget before the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Employer authority. </w:t>
      </w:r>
      <w:r>
        <w:rPr>
          <w:rFonts w:ascii="Times New Roman" w:hAnsi="Times New Roman"/>
          <w:b w:val="false"/>
          <w:i w:val="false"/>
          <w:color w:val="000000"/>
          <w:sz w:val="22"/>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 and hire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additional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employee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Determine employee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Schedule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Train and supervise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of budget and employer authority. </w:t>
      </w:r>
      <w:r>
        <w:rPr>
          <w:rFonts w:ascii="Times New Roman" w:hAnsi="Times New Roman"/>
          <w:b w:val="false"/>
          <w:i w:val="false"/>
          <w:color w:val="000000"/>
          <w:sz w:val="22"/>
        </w:rPr>
        <w:t xml:space="preserve">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w:t>
      </w:r>
      <w:hyperlink r:id="rId262">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w:t>
      </w:r>
      <w:hyperlink r:id="rId263">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“h.”</w:t>
      </w:r>
      <w:r>
        <w:rPr>
          <w:rFonts w:ascii="Times New Roman" w:hAnsi="Times New Roman"/>
          <w:b w:val="false"/>
          <w:i w:val="false"/>
          <w:color w:val="000000"/>
          <w:sz w:val="22"/>
        </w:rPr>
        <w:t xml:space="preserve"> Documentation of the person responsible for the budget and employer authority tasks, whether the member or a representative, shall be included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representative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a current provider of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sign a consent form that designates who the member has chosen as a representative and the responsibilities of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paid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Employment agreement. </w:t>
      </w:r>
      <w:r>
        <w:rPr>
          <w:rFonts w:ascii="Times New Roman" w:hAnsi="Times New Roman"/>
          <w:b w:val="false"/>
          <w:i w:val="false"/>
          <w:color w:val="000000"/>
          <w:sz w:val="22"/>
        </w:rPr>
        <w:t>Any person employed by the member to provide services under the CCO shall sign an employment agreement with the member that outlines the employee’s and member’s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independent support broker. </w:t>
      </w:r>
      <w:r>
        <w:rPr>
          <w:rFonts w:ascii="Times New Roman" w:hAnsi="Times New Roman"/>
          <w:b w:val="false"/>
          <w:i w:val="false"/>
          <w:color w:val="000000"/>
          <w:sz w:val="22"/>
        </w:rPr>
        <w:t>The independent support broker shall perform the following services as directed by the member or the member’s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the member’s initial and subsequent individual budgets and with making any changes to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monthly contact with the member for the first four months of implementation of the initial individual budget and have, at a minimum, quarterly contact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the required employment packet with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with interviewing potential employees and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determining whether a potential employee meets the qualifications necessary to perform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obtaining a signed consent from a potential employee to conduct background checks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negotiating with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contracts and payment methods for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an emergency backup plan. The emergency backup plan shall address any 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Review expenditure reports from the financial management service to ensure that services and supports in the individual budget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financial management service. </w:t>
      </w:r>
      <w:r>
        <w:rPr>
          <w:rFonts w:ascii="Times New Roman" w:hAnsi="Times New Roman"/>
          <w:b w:val="false"/>
          <w:i w:val="false"/>
          <w:color w:val="000000"/>
          <w:sz w:val="22"/>
        </w:rPr>
        <w:t>The financial management service shall perform all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Medicaid funds in an electronic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 and pay invoices for approved goods and services included in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track the approved individual budget amount authorized each month and document all expenditures as they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real-time individual budget account balances for the member, the independent support broker, and the department, available at a minimum during normal business hours (9 a.m. to 5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criminal background checks on potential employees pursuant to </w:t>
      </w:r>
      <w:hyperlink r:id="rId264">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Verify for the member an employee’s citizenship or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fiscal and payroll-related responsibilities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Verifying that hourly wages comply with federal and state labor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Collecting and processing timecards.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Withholding, filing, and paying federal, state and local income taxes, Medicare and Social Security (FICA) taxes, and federal (FUTA) and state (SUTA) unemployment and disability insurance taxes,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Computing and processing other withholdings,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Processing all judgments, garnishments, tax levies, or other withholding on an employee’s pay as may be required by federal, state, or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Preparing and issuing employee payroll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Preparing and disbursing IRS Forms W-2 and W-3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Processing federal advance earned income tax credit for eligible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Refunding over-collected FICA,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Refunding over-collected FUTA,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in completing required federal, state, and local tax and insurance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and manage documents and files for the member and the member’s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timecards, receipts, and invoices to ensure that they are consistent with the individual budget. Keep records of all timecards and invoices for each member for a total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the independent support broker, and the member monthly and quarterly status reports that include a summary of expenditures paid and amount of budget unused.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Establish an accessible customer service system and a method of communication for the member and the independent support broker that includes alternative communication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Establish a customer services complaint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Develop a policy and procedures manual that is current with state and federal regulations and update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Develop a business continuity plan in the case of emergencies and natural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an annual independent audit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Assist in implementing the state’s quality management strategy related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financial management service provider withhold payment to any member or member’s employee to offset any overpayment or enforce any sanction placed on the service provider pursuant to rule </w:t>
      </w:r>
      <w:hyperlink r:id="rId26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member and the employee. </w:t>
      </w:r>
      <w:r>
        <w:rPr>
          <w:rFonts w:ascii="Times New Roman" w:hAnsi="Times New Roman"/>
          <w:b w:val="false"/>
          <w:i w:val="false"/>
          <w:color w:val="000000"/>
          <w:sz w:val="22"/>
        </w:rPr>
        <w:t>A member participating in the CCO and the member’s employee(s) are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participating in the CCO shall be jointly and severally liable with any of the member’s employees for any overpayment of medical assistance funds used through a CCO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not employ any person who has been sanctioned, or who is affiliated with a person or an entity that has been sanctioned, under </w:t>
      </w:r>
      <w:hyperlink r:id="rId266">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For purposes of this subparagraph, “sanction” also includes anyone who has been temporarily suspended for a credible allegation of fraud under </w:t>
      </w:r>
      <w:r>
        <w:rPr>
          <w:rFonts w:ascii="Times New Roman" w:hAnsi="Times New Roman"/>
          <w:b w:val="false"/>
          <w:i w:val="false"/>
          <w:color w:val="000000"/>
          <w:sz w:val="22"/>
        </w:rPr>
        <w:t>42 CFR Part 455</w:t>
      </w:r>
      <w:r>
        <w:rPr>
          <w:rFonts w:ascii="Times New Roman" w:hAnsi="Times New Roman"/>
          <w:b w:val="false"/>
          <w:i w:val="false"/>
          <w:color w:val="000000"/>
          <w:sz w:val="22"/>
        </w:rPr>
        <w:t xml:space="preserve"> as amended to July 1, 2026. Any CCO funds paid to any employee who or which has been sanctioned is an overpayment that the department shall recoup under </w:t>
      </w:r>
      <w:hyperlink r:id="rId267">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not employ any person who has been excluded by the Office of the Inspector General of the Department of Health and Human Services under </w:t>
      </w:r>
      <w:r>
        <w:rPr>
          <w:rFonts w:ascii="Times New Roman" w:hAnsi="Times New Roman"/>
          <w:b w:val="false"/>
          <w:i w:val="false"/>
          <w:color w:val="000000"/>
          <w:sz w:val="22"/>
        </w:rPr>
        <w:t>Sections 1128 or 1156 of the Social Security Act</w:t>
      </w:r>
      <w:r>
        <w:rPr>
          <w:rFonts w:ascii="Times New Roman" w:hAnsi="Times New Roman"/>
          <w:b w:val="false"/>
          <w:i w:val="false"/>
          <w:color w:val="000000"/>
          <w:sz w:val="22"/>
        </w:rPr>
        <w:t xml:space="preserve"> as amended to July 1, 2026, and is not eligible to receive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personal care services, employees shall use an electronic visit verification system that captures all documentation requirements of the Consumer Choices Option Semi-Monthly Time Sheet or use a form prescribed by the department. All other employees shall complete, sign and date the Consumer Choices Option Semi-Monthly Time Sheet, for each date of service provided to a member. All employees shall maintain documentation that complies with rule </w:t>
      </w:r>
      <w:hyperlink r:id="rId268">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shall sign, and certify under penalty of perjury, each employee timecard identified in subparagraph </w:t>
      </w:r>
      <w:hyperlink r:id="rId269">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“m”</w:t>
      </w:r>
      <w:r>
        <w:rPr>
          <w:rFonts w:ascii="Times New Roman" w:hAnsi="Times New Roman"/>
          <w:b w:val="false"/>
          <w:i w:val="false"/>
          <w:color w:val="000000"/>
          <w:sz w:val="22"/>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health and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270">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441—78.35</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 services. </w:t>
      </w:r>
      <w:r>
        <w:rPr>
          <w:rFonts w:ascii="Times New Roman" w:hAnsi="Times New Roman"/>
          <w:b w:val="false"/>
          <w:i w:val="false"/>
          <w:color w:val="000000"/>
          <w:sz w:val="22"/>
        </w:rPr>
        <w:t xml:space="preserve">Payment will be approved for the  services provided by an occupational therapist that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271">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441—78.36</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78.36(1)</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w:t>
      </w:r>
      <w:r>
        <w:rPr>
          <w:rFonts w:ascii="Times New Roman" w:hAnsi="Times New Roman"/>
          <w:b w:val="false"/>
          <w:i w:val="false"/>
          <w:color w:val="000000"/>
          <w:sz w:val="22"/>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Covered services. Covered services include, in accordance with Medicare guidelines,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 maintenance support and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speech-language pathology unless this provision has been waived under the Medicare program for a specific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items or services specified in the resident’s plan that would otherwise be paid under the Medicaid program.</w:t>
      </w:r>
    </w:p>
    <w:p>
      <w:pPr>
        <w:spacing w:before="0" w:after="0"/>
        <w:ind w:left="120"/>
        <w:jc w:val="both"/>
      </w:pPr>
      <w:r>
        <w:rPr>
          <w:rFonts w:ascii="Times New Roman" w:hAnsi="Times New Roman"/>
          <w:b w:val="false"/>
          <w:i w:val="false"/>
          <w:color w:val="000000"/>
          <w:sz w:val="22"/>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provided by a hospice other than the hospice designated by the individual unless provided under arrangements made by the designated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Curative antiviral drugs targeted at the human immunodeficiency virus for the treatment of AIDS.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78.36(2)</w:t>
      </w:r>
      <w:r>
        <w:rPr>
          <w:rFonts w:ascii="Times New Roman" w:hAnsi="Times New Roman"/>
          <w:b w:val="false"/>
          <w:i w:val="false"/>
          <w:color w:val="000000"/>
          <w:sz w:val="22"/>
        </w:rPr>
        <w:t> </w:t>
      </w:r>
      <w:r>
        <w:rPr>
          <w:rFonts w:ascii="Times New Roman" w:hAnsi="Times New Roman"/>
          <w:b w:val="false"/>
          <w:i/>
          <w:color w:val="000000"/>
          <w:sz w:val="22"/>
        </w:rPr>
        <w:t xml:space="preserve">Categories of care. </w:t>
      </w:r>
      <w:r>
        <w:rPr>
          <w:rFonts w:ascii="Times New Roman" w:hAnsi="Times New Roman"/>
          <w:b w:val="false"/>
          <w:i w:val="false"/>
          <w:color w:val="000000"/>
          <w:sz w:val="22"/>
        </w:rPr>
        <w:t>Hospice care entails the following four categories of daily care. Guidelines for core and other services must be adhered to for all categories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home care is care provided in the place of residence that is not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Continuous home care is provided only during a period of crisis when an individual requires continuous care that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 maintenance support and aide services may also be provided to supplement the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inpatient care is provided in periods of acute medical crisis when the individual is hospitalized or in a participating hospice inpatient unit or nursing facility for pain control or acute or chronic symptom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78.36(3)</w:t>
      </w:r>
      <w:r>
        <w:rPr>
          <w:rFonts w:ascii="Times New Roman" w:hAnsi="Times New Roman"/>
          <w:b w:val="false"/>
          <w:i w:val="false"/>
          <w:color w:val="000000"/>
          <w:sz w:val="22"/>
        </w:rPr>
        <w:t> </w:t>
      </w:r>
      <w:r>
        <w:rPr>
          <w:rFonts w:ascii="Times New Roman" w:hAnsi="Times New Roman"/>
          <w:b w:val="false"/>
          <w:i/>
          <w:color w:val="000000"/>
          <w:sz w:val="22"/>
        </w:rPr>
        <w:t xml:space="preserve">Residence in a nursing facility. </w:t>
      </w:r>
      <w:r>
        <w:rPr>
          <w:rFonts w:ascii="Times New Roman" w:hAnsi="Times New Roman"/>
          <w:b w:val="false"/>
          <w:i w:val="false"/>
          <w:color w:val="000000"/>
          <w:sz w:val="22"/>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Medicaid program from a Medicaid-enrolled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78.36(4)</w:t>
      </w:r>
      <w:r>
        <w:rPr>
          <w:rFonts w:ascii="Times New Roman" w:hAnsi="Times New Roman"/>
          <w:b w:val="false"/>
          <w:i w:val="false"/>
          <w:color w:val="000000"/>
          <w:sz w:val="22"/>
        </w:rPr>
        <w:t> </w:t>
      </w:r>
      <w:r>
        <w:rPr>
          <w:rFonts w:ascii="Times New Roman" w:hAnsi="Times New Roman"/>
          <w:b w:val="false"/>
          <w:i/>
          <w:color w:val="000000"/>
          <w:sz w:val="22"/>
        </w:rPr>
        <w:t xml:space="preserve">Approval for hospice benefits. </w:t>
      </w:r>
      <w:r>
        <w:rPr>
          <w:rFonts w:ascii="Times New Roman" w:hAnsi="Times New Roman"/>
          <w:b w:val="false"/>
          <w:i w:val="false"/>
          <w:color w:val="000000"/>
          <w:sz w:val="22"/>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certification process. </w:t>
      </w:r>
      <w:r>
        <w:rPr>
          <w:rFonts w:ascii="Times New Roman" w:hAnsi="Times New Roman"/>
          <w:b w:val="false"/>
          <w:i w:val="false"/>
          <w:color w:val="000000"/>
          <w:sz w:val="22"/>
        </w:rPr>
        <w:t>The hospice must obtain certification that an individual is terminally ill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procedures. </w:t>
      </w:r>
      <w:r>
        <w:rPr>
          <w:rFonts w:ascii="Times New Roman" w:hAnsi="Times New Roman"/>
          <w:b w:val="false"/>
          <w:i w:val="false"/>
          <w:color w:val="000000"/>
          <w:sz w:val="22"/>
        </w:rPr>
        <w:t>Individuals who are dually eligible for Medicare and Medicaid must receive hospice coverage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Election statement. An individual, or individual’s representative, elects to receive the hospice benefit by filing an election statement, the Election of Medicaid Hospice Benefit form, or a Medicare election of hospice benefit form, with a particular hospice. The hospice may provide the individual with another election form to use provided the form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hospice that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Acknowledgment that the recipient has been given a full understanding of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Acknowledgment that the recipient waives the right to regular Medicaid benefits, except for payment to the regular physician and treatment for medical conditions unrelated to the terminal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Acknowledgment that recipients are not responsible for copayment or other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recipient’s Medicaid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designation. An individual may change the designation of the particular hospice from which the individual elects to receive hospice care one time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of election. The election to receive hospice care will be considered to continue until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or the individual’s representative revokes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situation changes so that the individual no longer qualifies for the hospice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hospice elects to terminate the recipient’s enrollment in accordance with the hospice’s established discharge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Revocation. A Revocation of Medicaid Hospice Benefit form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441—78.37</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services. </w:t>
      </w:r>
      <w:r>
        <w:rPr>
          <w:rFonts w:ascii="Times New Roman" w:hAnsi="Times New Roman"/>
          <w:b w:val="false"/>
          <w:i w:val="false"/>
          <w:color w:val="000000"/>
          <w:sz w:val="22"/>
        </w:rPr>
        <w:t xml:space="preserve">Payment will be approved for the following services to members eligible for the HCBS elderly waiver services as established in </w:t>
      </w:r>
      <w:hyperlink r:id="rId27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273">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78.37(2)</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system are services provided pursuant to subrule </w:t>
      </w:r>
      <w:hyperlink r:id="rId274">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27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78.37(4)</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 xml:space="preserve">Home maintenance support services  are  activities provided pursuant to subrule </w:t>
      </w:r>
      <w:hyperlink r:id="rId276">
        <w:r>
          <w:rPr>
            <w:rStyle w:val="Hyperlink"/>
            <w:rFonts w:ascii="Times New Roman" w:hAnsi="Times New Roman"/>
            <w:b w:val="false"/>
            <w:i w:val="false"/>
            <w:color w:val="000000"/>
            <w:sz w:val="22"/>
          </w:rPr>
          <w:t>78.34(1)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78.37(5)</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an extension of the State Plan, are included in the plan of treatment approved by the physician, and are provided by licensed agency nurses to members in the home or community. The services are reasonable and necessary to the treatment of an illness or injury and include all nursing tasks recognized by the board of nursing. A unit of service is one visit. Nursing care service can pay for a maximum of eight nursing visits per month for intermediate level of care persons. There is no limit on the maximum visits for skilled level of care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78.37(6)</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 activities provided pursuant to subrule </w:t>
      </w:r>
      <w:hyperlink r:id="rId277">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78.37(7)</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 xml:space="preserve">Home-delivered meals are meals provided pursuant to subrule </w:t>
      </w:r>
      <w:hyperlink r:id="rId278">
        <w:r>
          <w:rPr>
            <w:rStyle w:val="Hyperlink"/>
            <w:rFonts w:ascii="Times New Roman" w:hAnsi="Times New Roman"/>
            <w:b w:val="false"/>
            <w:i w:val="false"/>
            <w:color w:val="000000"/>
            <w:sz w:val="22"/>
          </w:rPr>
          <w:t>78.34(11)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78.37(8)</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279">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78.37(9)</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 </w:t>
      </w:r>
      <w:r>
        <w:rPr>
          <w:rFonts w:ascii="Times New Roman" w:hAnsi="Times New Roman"/>
          <w:b w:val="false"/>
          <w:i w:val="false"/>
          <w:color w:val="000000"/>
          <w:sz w:val="22"/>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78.37(10)</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280">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78.37(11)</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281">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282">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283">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284">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management shall not include the provision of direct services by the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case management shall not be made until the member is enrolled in the waiver. Payment shall be made only for case management services performed on behalf of the member during a month when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78.37(13)</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service. </w:t>
      </w:r>
      <w:r>
        <w:rPr>
          <w:rFonts w:ascii="Times New Roman" w:hAnsi="Times New Roman"/>
          <w:b w:val="false"/>
          <w:i w:val="false"/>
          <w:color w:val="000000"/>
          <w:sz w:val="22"/>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attendant care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one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day of assisted living service is billable only if both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was present in the facility during that day’s bed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assisted living provider has documented at least one assisted living service encounter for that day, in accordance with rule </w:t>
      </w:r>
      <w:hyperlink r:id="rId28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The documentation must include the member’s response to the service. The documented assisted living service cannot also be an authorized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elderly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286">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detailed in paragraph </w:t>
      </w:r>
      <w:hyperlink r:id="rId287">
        <w:r>
          <w:rPr>
            <w:rStyle w:val="Hyperlink"/>
            <w:rFonts w:ascii="Times New Roman" w:hAnsi="Times New Roman"/>
            <w:b w:val="false"/>
            <w:i w:val="false"/>
            <w:color w:val="000000"/>
            <w:sz w:val="22"/>
          </w:rPr>
          <w:t>78.31(14)</w:t>
        </w:r>
        <w:r>
          <w:rPr>
            <w:rFonts w:ascii="Times New Roman" w:hAnsi="Times New Roman"/>
            <w:b w:val="false"/>
            <w:i/>
            <w:color w:val="000000"/>
            <w:sz w:val="22"/>
          </w:rPr>
          <w:t>“e”</w:t>
        </w:r>
        <w:r>
          <w:rPr>
            <w:rFonts w:ascii="Times New Roman" w:hAnsi="Times New Roman"/>
            <w:b w:val="false"/>
            <w:i w:val="false"/>
            <w:color w:val="000000"/>
            <w:sz w:val="22"/>
          </w:rPr>
          <w:t xml:space="preserve"> will apply.</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services. </w:t>
      </w:r>
      <w:r>
        <w:rPr>
          <w:rFonts w:ascii="Times New Roman" w:hAnsi="Times New Roman"/>
          <w:b w:val="false"/>
          <w:i w:val="false"/>
          <w:color w:val="000000"/>
          <w:sz w:val="22"/>
        </w:rPr>
        <w:t xml:space="preserve">Payment will be approved for the following services to members eligible for the HCBS AIDS/HIV waiver services as established in </w:t>
      </w:r>
      <w:hyperlink r:id="rId288">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289">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290">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78.38(3)</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 xml:space="preserve">Home maintenance support services are service activities provided pursuant to subrule </w:t>
      </w:r>
      <w:hyperlink r:id="rId291">
        <w:r>
          <w:rPr>
            <w:rStyle w:val="Hyperlink"/>
            <w:rFonts w:ascii="Times New Roman" w:hAnsi="Times New Roman"/>
            <w:b w:val="false"/>
            <w:i w:val="false"/>
            <w:color w:val="000000"/>
            <w:sz w:val="22"/>
          </w:rPr>
          <w:t>78.34(1)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292">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 xml:space="preserve">Home-delivered meals are meals provided pursuant to subrule </w:t>
      </w:r>
      <w:hyperlink r:id="rId293">
        <w:r>
          <w:rPr>
            <w:rStyle w:val="Hyperlink"/>
            <w:rFonts w:ascii="Times New Roman" w:hAnsi="Times New Roman"/>
            <w:b w:val="false"/>
            <w:i w:val="false"/>
            <w:color w:val="000000"/>
            <w:sz w:val="22"/>
          </w:rPr>
          <w:t>78.34(11)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294">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78.38(8)</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295">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78.38(9)</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are service activities provided pursuant to subrule </w:t>
      </w:r>
      <w:hyperlink r:id="rId296">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78.38(10)</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AIDS/HIV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297">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298">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441—78.39</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 xml:space="preserve">Payment will be made for services as defined in </w:t>
      </w:r>
      <w:r>
        <w:rPr>
          <w:rFonts w:ascii="Times New Roman" w:hAnsi="Times New Roman"/>
          <w:b w:val="false"/>
          <w:i w:val="false"/>
          <w:color w:val="000000"/>
          <w:sz w:val="22"/>
        </w:rPr>
        <w:t>Section 1905(a)(2)(C)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federally qualified health centers,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a Medicaid Prenatal Risk Assessment form,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299">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federally qualified health center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441—78.40</w:t>
      </w:r>
      <w:r>
        <w:rPr>
          <w:rFonts w:ascii="Times New Roman" w:hAnsi="Times New Roman"/>
          <w:b/>
          <w:i w:val="false"/>
          <w:color w:val="000000"/>
          <w:sz w:val="22"/>
        </w:rPr>
        <w:t xml:space="preserve">(249A) </w:t>
      </w:r>
      <w:r>
        <w:rPr>
          <w:rFonts w:ascii="Times New Roman" w:hAnsi="Times New Roman"/>
          <w:b/>
          <w:i w:val="false"/>
          <w:color w:val="000000"/>
          <w:sz w:val="22"/>
        </w:rPr>
        <w:t xml:space="preserve">ARNPs. </w:t>
      </w:r>
      <w:r>
        <w:rPr>
          <w:rFonts w:ascii="Times New Roman" w:hAnsi="Times New Roman"/>
          <w:b w:val="false"/>
          <w:i w:val="false"/>
          <w:color w:val="000000"/>
          <w:sz w:val="22"/>
        </w:rPr>
        <w:t xml:space="preserve">Payment will be approved for services provided by ARNPs within their scope of practice and the limitations of state law, with the exception of services not payable to physicians under rule </w:t>
      </w:r>
      <w:hyperlink r:id="rId300">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or otherwise not payable under any other applicable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78.40(1)</w:t>
      </w:r>
      <w:r>
        <w:rPr>
          <w:rFonts w:ascii="Times New Roman" w:hAnsi="Times New Roman"/>
          <w:b w:val="false"/>
          <w:i w:val="false"/>
          <w:color w:val="000000"/>
          <w:sz w:val="22"/>
        </w:rPr>
        <w:t> </w:t>
      </w:r>
      <w:r>
        <w:rPr>
          <w:rFonts w:ascii="Times New Roman" w:hAnsi="Times New Roman"/>
          <w:b w:val="false"/>
          <w:i/>
          <w:color w:val="000000"/>
          <w:sz w:val="22"/>
        </w:rPr>
        <w:t xml:space="preserve">Direct payment. </w:t>
      </w:r>
      <w:r>
        <w:rPr>
          <w:rFonts w:ascii="Times New Roman" w:hAnsi="Times New Roman"/>
          <w:b w:val="false"/>
          <w:i w:val="false"/>
          <w:color w:val="000000"/>
          <w:sz w:val="22"/>
        </w:rPr>
        <w:t>Payment will be made to ARNPs directly, without regard to whether the ARNP is employed by or associated with a physician, hospital, birth center, clinic, or other health care provider recognized under state law. An established protocol between a physician and the ARNP will not cause an ARNP to be considered auxiliary personnel of a physician, or an employee of a hospital, birth center,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78.40(2)</w:t>
      </w:r>
      <w:r>
        <w:rPr>
          <w:rFonts w:ascii="Times New Roman" w:hAnsi="Times New Roman"/>
          <w:b w:val="false"/>
          <w:i w:val="false"/>
          <w:color w:val="000000"/>
          <w:sz w:val="22"/>
        </w:rPr>
        <w:t> </w:t>
      </w:r>
      <w:r>
        <w:rPr>
          <w:rFonts w:ascii="Times New Roman" w:hAnsi="Times New Roman"/>
          <w:b w:val="false"/>
          <w:i/>
          <w:color w:val="000000"/>
          <w:sz w:val="22"/>
        </w:rPr>
        <w:t xml:space="preserve">Location of service. </w:t>
      </w:r>
      <w:r>
        <w:rPr>
          <w:rFonts w:ascii="Times New Roman" w:hAnsi="Times New Roman"/>
          <w:b w:val="false"/>
          <w:i w:val="false"/>
          <w:color w:val="000000"/>
          <w:sz w:val="22"/>
        </w:rPr>
        <w:t>Payment will be approved for services rendered in any location in which the ARNP is legally authorized to provide services under state law. The nurse practitioner shall have promptly available the necessary equipment and personnel to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78.40(3)</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an ARNP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78.40(5)</w:t>
      </w:r>
      <w:r>
        <w:rPr>
          <w:rFonts w:ascii="Times New Roman" w:hAnsi="Times New Roman"/>
          <w:b w:val="false"/>
          <w:i w:val="false"/>
          <w:color w:val="000000"/>
          <w:sz w:val="22"/>
        </w:rPr>
        <w:t> </w:t>
      </w:r>
      <w:r>
        <w:rPr>
          <w:rFonts w:ascii="Times New Roman" w:hAnsi="Times New Roman"/>
          <w:b w:val="false"/>
          <w:i/>
          <w:color w:val="000000"/>
          <w:sz w:val="22"/>
        </w:rPr>
        <w:t xml:space="preserve">Prenatal risk assessment. </w:t>
      </w:r>
      <w:r>
        <w:rPr>
          <w:rFonts w:ascii="Times New Roman" w:hAnsi="Times New Roman"/>
          <w:b w:val="false"/>
          <w:i w:val="false"/>
          <w:color w:val="000000"/>
          <w:sz w:val="22"/>
        </w:rPr>
        <w:t>Risk assessment, using a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301">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intellectual disability waiver services. </w:t>
      </w:r>
      <w:r>
        <w:rPr>
          <w:rFonts w:ascii="Times New Roman" w:hAnsi="Times New Roman"/>
          <w:b w:val="false"/>
          <w:i w:val="false"/>
          <w:color w:val="000000"/>
          <w:sz w:val="22"/>
        </w:rPr>
        <w:t xml:space="preserve">Payment will be approved for the following services to members eligible for the HCBS intellectual disability waiver as established in </w:t>
      </w:r>
      <w:hyperlink r:id="rId30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components of the service are personal care services,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that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management skills training services are activities that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Socialization skills training services are activities that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03">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for whom a provider has primary responsibility for supervision or structure during the month. This service will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Intensive residential services are supported community living services provided 24 hours per day to members with a serious and persistent mental illness diagnosis residing in a designated intensive residential service home.  To be eligible for supported community living intensive residential services, the member must meet the eligibility criteria in paragraph </w:t>
      </w:r>
      <w:hyperlink r:id="rId304">
        <w:r>
          <w:rPr>
            <w:rStyle w:val="Hyperlink"/>
            <w:rFonts w:ascii="Times New Roman" w:hAnsi="Times New Roman"/>
            <w:b w:val="false"/>
            <w:i w:val="false"/>
            <w:color w:val="000000"/>
            <w:sz w:val="22"/>
          </w:rPr>
          <w:t>78.27(7)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delivered through the remote supports modality must meet the requirements pursuant to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services delivered in a host home by a subcontractor of the supported community living services agency must meet the requirements pursuant to HCBS Waiver Provider Manual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within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criteria for receiving supported community living services for transition-age youth 16 to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supported community living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supported community living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305">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providers of the service setting being requested must meet the following additional safety and service requirements for serving youth under the age of 18:</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 16 to 18 years of age shall receive 24-hour site supervision and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16 needing supported community living outside the family home must receive services in a licensed or certified residential-based supported community living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Maintenance and room and board costs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306">
        <w:r>
          <w:rPr>
            <w:rStyle w:val="Hyperlink"/>
            <w:rFonts w:ascii="Times New Roman" w:hAnsi="Times New Roman"/>
            <w:b w:val="false"/>
            <w:i w:val="false"/>
            <w:color w:val="000000"/>
            <w:sz w:val="22"/>
          </w:rPr>
          <w:t>78.41(1)</w:t>
        </w:r>
      </w:hyperlink>
      <w:r>
        <w:rPr>
          <w:rFonts w:ascii="Times New Roman" w:hAnsi="Times New Roman"/>
          <w:b w:val="false"/>
          <w:i/>
          <w:color w:val="000000"/>
          <w:sz w:val="22"/>
        </w:rPr>
        <w:t>“i”</w:t>
      </w:r>
      <w:r>
        <w:rPr>
          <w:rFonts w:ascii="Times New Roman" w:hAnsi="Times New Roman"/>
          <w:b w:val="false"/>
          <w:i w:val="false"/>
          <w:color w:val="000000"/>
          <w:sz w:val="22"/>
        </w:rPr>
        <w:t>(1)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20,440 15-minute units per state fiscal year, except a leap year, when 20,496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will not be simultaneously reimbursed with other residential services or with respite, nursing, or home health aide services provided through Medicaid or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307">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The personal emergency response or portable locator system are services provided pursuant to subrule </w:t>
      </w:r>
      <w:hyperlink r:id="rId308">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309">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Nursing services are individualized in-home medical services provided by licensed nurses. Services shall exceed the Medicaid state plan services and be included in the member’s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maximum of ten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78.41(6)</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member that are not payable under Medicaid as set forth in rule </w:t>
      </w:r>
      <w:hyperlink r:id="rId310">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14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78.41(7)</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311">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78.41(8)</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312">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78.41(9)</w:t>
      </w:r>
      <w:r>
        <w:rPr>
          <w:rFonts w:ascii="Times New Roman" w:hAnsi="Times New Roman"/>
          <w:b w:val="false"/>
          <w:i w:val="false"/>
          <w:color w:val="000000"/>
          <w:sz w:val="22"/>
        </w:rPr>
        <w:t> </w:t>
      </w:r>
      <w:r>
        <w:rPr>
          <w:rFonts w:ascii="Times New Roman" w:hAnsi="Times New Roman"/>
          <w:b w:val="false"/>
          <w:i/>
          <w:color w:val="000000"/>
          <w:sz w:val="22"/>
        </w:rPr>
        <w:t xml:space="preserve">IMMT services. </w:t>
      </w:r>
      <w:r>
        <w:rPr>
          <w:rFonts w:ascii="Times New Roman" w:hAnsi="Times New Roman"/>
          <w:b w:val="false"/>
          <w:i w:val="false"/>
          <w:color w:val="000000"/>
          <w:sz w:val="22"/>
        </w:rPr>
        <w:t xml:space="preserve">IMMT services are activities performed pursuant to subrule </w:t>
      </w:r>
      <w:hyperlink r:id="rId313">
        <w:r>
          <w:rPr>
            <w:rStyle w:val="Hyperlink"/>
            <w:rFonts w:ascii="Times New Roman" w:hAnsi="Times New Roman"/>
            <w:b w:val="false"/>
            <w:i w:val="false"/>
            <w:color w:val="000000"/>
            <w:sz w:val="22"/>
          </w:rPr>
          <w:t>78.34(8)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78.41(10)</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services. </w:t>
      </w:r>
      <w:r>
        <w:rPr>
          <w:rFonts w:ascii="Times New Roman" w:hAnsi="Times New Roman"/>
          <w:b w:val="false"/>
          <w:i w:val="false"/>
          <w:color w:val="000000"/>
          <w:sz w:val="22"/>
        </w:rPr>
        <w:t>Residential-based supported community living services are medical or remedial services provided to children under the age of 18 while living outside their home in a certified residential-based supported community living environment furnished by the residential-based supported community living service provider. The services eliminate barriers to family reunification or assist in developing self-help skills for maximum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Allowable service components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must also address the ordinary daily-living needs of the child, excluding room and board, such as needs for safety and security, social functioning, and other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 and board costs are not reimbursable as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service shall be identified in the child’s service plan pursuant to </w:t>
      </w:r>
      <w:hyperlink r:id="rId314">
        <w:r>
          <w:rPr>
            <w:rStyle w:val="Hyperlink"/>
            <w:rFonts w:ascii="Times New Roman" w:hAnsi="Times New Roman"/>
            <w:b w:val="false"/>
            <w:i w:val="false"/>
            <w:color w:val="000000"/>
            <w:sz w:val="22"/>
          </w:rPr>
          <w:t>441—paragraph 77.40(11)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will not be simultaneously reimbursed with other residential services provided under an HCBS waiver or otherwise provided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day. A day is 24 hours of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of residential-based supported community living services available per child is 365 daily units per state fiscal year, except in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78.41(12)</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315">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78.41(13)</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316">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78.41(14)</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 xml:space="preserve">Day habilitation services will be provided pursuant to subrule </w:t>
      </w:r>
      <w:hyperlink r:id="rId317">
        <w:r>
          <w:rPr>
            <w:rStyle w:val="Hyperlink"/>
            <w:rFonts w:ascii="Times New Roman" w:hAnsi="Times New Roman"/>
            <w:b w:val="false"/>
            <w:i w:val="false"/>
            <w:color w:val="000000"/>
            <w:sz w:val="22"/>
          </w:rPr>
          <w:t>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78.41(15)</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318">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intellectual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19">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320">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441—78.42</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providing covered vaccines. </w:t>
      </w:r>
      <w:r>
        <w:rPr>
          <w:rFonts w:ascii="Times New Roman" w:hAnsi="Times New Roman"/>
          <w:b w:val="false"/>
          <w:i w:val="false"/>
          <w:color w:val="000000"/>
          <w:sz w:val="22"/>
        </w:rPr>
        <w:t xml:space="preserve">When the authorized pharmacist providing the vaccine meets all Iowa board of pharmacy expanded practice standards and Medicaid requirements, payment will be made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78.42(1)</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children. </w:t>
      </w:r>
      <w:r>
        <w:rPr>
          <w:rFonts w:ascii="Times New Roman" w:hAnsi="Times New Roman"/>
          <w:b w:val="false"/>
          <w:i w:val="false"/>
          <w:color w:val="000000"/>
          <w:sz w:val="22"/>
        </w:rPr>
        <w:t xml:space="preserve">Payment will be made to an enrolled provider for an administration fee for vaccines available through the VFC program administered by the department if the provider is enrolled in the VFC program. Payment will be made for the vaccine cost only if the VFC program stock has been depleted.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78.42(2)</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adults. </w:t>
      </w:r>
      <w:r>
        <w:rPr>
          <w:rFonts w:ascii="Times New Roman" w:hAnsi="Times New Roman"/>
          <w:b w:val="false"/>
          <w:i w:val="false"/>
          <w:color w:val="000000"/>
          <w:sz w:val="22"/>
        </w:rPr>
        <w:t xml:space="preserve">Payment will be made to an enrolled provider for an administration fee and vaccine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78.42(3)</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reporting. </w:t>
      </w:r>
      <w:r>
        <w:rPr>
          <w:rFonts w:ascii="Times New Roman" w:hAnsi="Times New Roman"/>
          <w:b w:val="false"/>
          <w:i w:val="false"/>
          <w:color w:val="000000"/>
          <w:sz w:val="22"/>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services. </w:t>
      </w:r>
      <w:r>
        <w:rPr>
          <w:rFonts w:ascii="Times New Roman" w:hAnsi="Times New Roman"/>
          <w:b w:val="false"/>
          <w:i w:val="false"/>
          <w:color w:val="000000"/>
          <w:sz w:val="22"/>
        </w:rPr>
        <w:t xml:space="preserve">Payment will be approved for the following services to members eligible for the HCBS brain injury waiver services as established in </w:t>
      </w:r>
      <w:hyperlink r:id="rId32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322">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323">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delivered in such a way as to enhance the capabilities of members and their families to exercise their rights and responsibilities as citizens in the community. The goal is to enhance the ability of the member to exercise choice, make decisions, take risks that are a typical part of life, and fully participate as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manager must develop a relationship with the member so that the abilities, needs and desires of the member can be clearly identified and communicated and the case manager can help to ensure that the system and specific services are responsive to the needs of the individual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 are eligible for targeted case management are not eligible for case management as a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basic components of the service may include but are not limited to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that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management skills training services are activities that assist a member to maintain or develop skills necessary to sustain the member in the physical environment and that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Socialization skills training services are activities that assist a member to develop or maintain skills that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those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24">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Physiological treatment includes medication regimens designed to prevent, halt, control, relieve, or reverse symptoms or conditions which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shall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Children must first access all other services for which they are eligible and that are appropriate to meet their needs before accessing the HCBS brain injury waiver services.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all staff-to-member ratios and shall reflect costs associated with members’ specific support needs for travel and transportation, consulting, instruction, and environmental modifications and repairs, as determined necessary by the interdisciplinary team for each member. The specific support needs must be identified in the Medicaid case manager’s service plan, the total costs shall not exceed $1,570 per member per year,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325">
        <w:r>
          <w:rPr>
            <w:rStyle w:val="Hyperlink"/>
            <w:rFonts w:ascii="Times New Roman" w:hAnsi="Times New Roman"/>
            <w:b w:val="false"/>
            <w:i w:val="false"/>
            <w:color w:val="000000"/>
            <w:sz w:val="22"/>
          </w:rPr>
          <w:t>78.43(2)</w:t>
        </w:r>
      </w:hyperlink>
      <w:r>
        <w:rPr>
          <w:rFonts w:ascii="Times New Roman" w:hAnsi="Times New Roman"/>
          <w:b w:val="false"/>
          <w:i/>
          <w:color w:val="000000"/>
          <w:sz w:val="22"/>
        </w:rPr>
        <w:t>“e”</w:t>
      </w:r>
      <w:r>
        <w:rPr>
          <w:rFonts w:ascii="Times New Roman" w:hAnsi="Times New Roman"/>
          <w:b w:val="false"/>
          <w:i w:val="false"/>
          <w:color w:val="000000"/>
          <w:sz w:val="22"/>
        </w:rPr>
        <w:t>(1)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33,580 15-minute units per state fiscal year except a leap year, when 33,672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transportation, personal assistance, nursing, or home health aide services provided  through Medicaid or the HCBS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78.43(3)</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care cannot be provided to a member whose usual caregiver is an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2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2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supported community living services,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328">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329">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system are services provided pursuant to subrule </w:t>
      </w:r>
      <w:hyperlink r:id="rId330">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78.43(8)</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includes medically necessary items that are for personal use by members with a brain injury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may be made to enrolled specialized medical equipment providers upon satisfactory receipt of the service not to exceed the service limitations published on the Iowa Medicaid fee schedule webpage.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by a health care professional as necessary for the member’s health and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The amount of the fee will be determined as directed in </w:t>
      </w:r>
      <w:hyperlink r:id="rId331">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78.43(9)</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332">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78.43(10)</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services. </w:t>
      </w:r>
      <w:r>
        <w:rPr>
          <w:rFonts w:ascii="Times New Roman" w:hAnsi="Times New Roman"/>
          <w:b w:val="false"/>
          <w:i w:val="false"/>
          <w:color w:val="000000"/>
          <w:sz w:val="22"/>
        </w:rPr>
        <w:t>Family counseling and training services are face-to-face mental health services provided to the member and the family with whom the member lives, or who routinely provide care to the member to increase the member’s or family members’ capabilities to maintain and care for the member in the community. Counseling may include helping the member or the member’s family members with crisis, coping strategies, stress reduction, management of depression, alleviation of psychosocial isolation and support in coping with the effects of a brain injury. It may include the use of treatment regimens as specified in the individual treatment plan. Periodic training updates may be necessary to safely maintain the member in the community.</w:t>
      </w:r>
    </w:p>
    <w:p>
      <w:pPr>
        <w:spacing w:before="0" w:after="0"/>
        <w:ind w:left="120"/>
        <w:jc w:val="both"/>
      </w:pPr>
      <w:r>
        <w:rPr>
          <w:rFonts w:ascii="Times New Roman" w:hAnsi="Times New Roman"/>
          <w:b w:val="false"/>
          <w:i w:val="false"/>
          <w:color w:val="000000"/>
          <w:sz w:val="22"/>
        </w:rPr>
        <w:t>Family may include spouse, children, friends, or in-laws of the member. Family does not include individuals who are employed to care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78.43(11)</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333">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78.43(12)</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w:t>
      </w:r>
      <w:r>
        <w:rPr>
          <w:rFonts w:ascii="Times New Roman" w:hAnsi="Times New Roman"/>
          <w:b w:val="false"/>
          <w:i w:val="false"/>
          <w:color w:val="000000"/>
          <w:sz w:val="22"/>
        </w:rPr>
        <w:t>Behavioral programming consists of individually designed strategies to increase the member’s appropriate behaviors and decrease the member’s maladaptive behaviors which have interfered with the member’s ability to remain in the community. Behavioral programming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assessment of both appropriate and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structured behavioral intervention plan which should be identified in the 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78.43(13)</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334">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78.43(14)</w:t>
      </w:r>
      <w:r>
        <w:rPr>
          <w:rFonts w:ascii="Times New Roman" w:hAnsi="Times New Roman"/>
          <w:b w:val="false"/>
          <w:i w:val="false"/>
          <w:color w:val="000000"/>
          <w:sz w:val="22"/>
        </w:rPr>
        <w:t> </w:t>
      </w:r>
      <w:r>
        <w:rPr>
          <w:rFonts w:ascii="Times New Roman" w:hAnsi="Times New Roman"/>
          <w:b w:val="false"/>
          <w:i/>
          <w:color w:val="000000"/>
          <w:sz w:val="22"/>
        </w:rPr>
        <w:t xml:space="preserve">IMMT services. </w:t>
      </w:r>
      <w:r>
        <w:rPr>
          <w:rFonts w:ascii="Times New Roman" w:hAnsi="Times New Roman"/>
          <w:b w:val="false"/>
          <w:i w:val="false"/>
          <w:color w:val="000000"/>
          <w:sz w:val="22"/>
        </w:rPr>
        <w:t xml:space="preserve">IMMT services are activities performed pursuant to subrule </w:t>
      </w:r>
      <w:hyperlink r:id="rId335">
        <w:r>
          <w:rPr>
            <w:rStyle w:val="Hyperlink"/>
            <w:rFonts w:ascii="Times New Roman" w:hAnsi="Times New Roman"/>
            <w:b w:val="false"/>
            <w:i w:val="false"/>
            <w:color w:val="000000"/>
            <w:sz w:val="22"/>
          </w:rPr>
          <w:t>78.34(8)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78.43(15)</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336">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brain injury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37">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338">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441—78.44</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services. </w:t>
      </w:r>
      <w:r>
        <w:rPr>
          <w:rFonts w:ascii="Times New Roman" w:hAnsi="Times New Roman"/>
          <w:b w:val="false"/>
          <w:i w:val="false"/>
          <w:color w:val="000000"/>
          <w:sz w:val="22"/>
        </w:rPr>
        <w:t>Payment will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441—78.45</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ACT services may be provided only to a member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at least 17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does not have the resources or skills necessary to maintain an adequate level of functioning in the home or community environment without assistance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judgment, impulse control, or cognitive perceptual abilities are compromised;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exhibits significant impairment in social, interpersonal, or familial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has a validated principal mental health diagnosis consistent with a severe and persistent mental illness. For this purpose, a mental health diagnosis means a disorder, dysfunction, or dysphoria diagnosed pursuant to the DSM,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needs a consistent team of professionals and multiple mental health and support services to maintain the member in the community and reduce hospitalizations, as evidenced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repeated treatment failures with at least two hospitalizations within the previous 24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need for multiple or combined mental health and basic living supports to prevent the need for a more intrusive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presents a reasonable likelihood that ACT services will lead to specific, observable improvements in the member’s functioning and assist the member in achieving or maintaining community tenure. Specifically,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medically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level of care that includes more intensive medical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Presents a low risk to self, others, or property, with treatment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Lives independently in the community or demonstrates a capacity to live independently and move from a dependent residential setting to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has a written treatment plan containing a work evaluation and the necessary psychiatric rehabilitation treatment and support services. The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frequency and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crisis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schedule for updates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The ACT team shall participate in all mental health services provided to the member and shall provide 24-hour service for the psychiatric needs of the member. Available ACT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Evaluation and 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portion of ACT services consists of a comprehensive mental health evaluation and assessment of the member by a psychiatrist, ARNP,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management consists of the prescription and management of medication by a psychiatrist, ARNP, or PA to respond to the member’s complaints and symptoms. A psychiatric registered nurse assists in this management by contact with the member regarding medications and their effect on the member’s complaints and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therapy and counseling for mental health and substance use. </w:t>
      </w:r>
      <w:r>
        <w:rPr>
          <w:rFonts w:ascii="Times New Roman" w:hAnsi="Times New Roman"/>
          <w:b w:val="false"/>
          <w:i w:val="false"/>
          <w:color w:val="000000"/>
          <w:sz w:val="22"/>
        </w:rPr>
        <w:t>This service consists of direct counseling for treatment of mental health and substance use symptoms by a psychiatrist, licensed mental health professional, ARNP, PA, or substance use specialist. Individual counseling is provided by other team members under the supervision of a psychiatrist or licensed mental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Skill teaching. </w:t>
      </w:r>
      <w:r>
        <w:rPr>
          <w:rFonts w:ascii="Times New Roman" w:hAnsi="Times New Roman"/>
          <w:b w:val="false"/>
          <w:i w:val="false"/>
          <w:color w:val="000000"/>
          <w:sz w:val="22"/>
        </w:rPr>
        <w:t>Skill teaching consists of side-by-side demonstration and observation of daily living activities by a registered nurse, licensed mental health professional, psychologist, substance use counselor, peer specialist, community support specialist, ARNP,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Community support is provided by a licensed mental health professional, psychologist, substance use counselor, peer specialist, community support specialist, ARNP, or PA. Community support consists of the following activities focused on recovery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to assist the member to develop and maintain skills for self-direction and coping with the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to assist the member in maintaining a positive level of participation in the community through development of socialization skills and personal coping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monitoring. </w:t>
      </w:r>
      <w:r>
        <w:rPr>
          <w:rFonts w:ascii="Times New Roman" w:hAnsi="Times New Roman"/>
          <w:b w:val="false"/>
          <w:i w:val="false"/>
          <w:color w:val="000000"/>
          <w:sz w:val="22"/>
        </w:rPr>
        <w:t>Medication monitoring services are provided by a psychiatric nurse and other team members under the supervision of a psychiatrist or psychiatric nurse and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member’s day-to-day functioning, medication compliance, and access to medications;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the member keeps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for treatment and service plan coordination. </w:t>
      </w:r>
      <w:r>
        <w:rPr>
          <w:rFonts w:ascii="Times New Roman" w:hAnsi="Times New Roman"/>
          <w:b w:val="false"/>
          <w:i w:val="false"/>
          <w:color w:val="000000"/>
          <w:sz w:val="22"/>
        </w:rPr>
        <w:t>Case management consists of the development by the ACT team of an individualized treatment and service plan, including personalized goals and outcomes, to address the member’s medical symptoms and remedial functional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Case management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Assessments, referrals, follow-up,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in gaining access to necessary medical, social, educational,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Assessing the member to determine service needs by collecting relevant historical information through member records and other information from relevant professionals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 specific care plan based on the assessment of needs, including goals and actions to address the needed medical, social, educational, and other necessary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referrals to services and related activities to assist the member with the assessed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daily team meetings to facilitate ACT services and coordinate the member’s care with other members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Crisis response. </w:t>
      </w:r>
      <w:r>
        <w:rPr>
          <w:rFonts w:ascii="Times New Roman" w:hAnsi="Times New Roman"/>
          <w:b w:val="false"/>
          <w:i w:val="false"/>
          <w:color w:val="000000"/>
          <w:sz w:val="22"/>
        </w:rPr>
        <w:t>Crisis response consists of direct assessment and treatment of the member’s urgent or crisis symptoms in the community by a registered nurse, licensed mental health professional, psychologist, substance use counselor, community support specialist, case manager, ARNP, or PA,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Work-related services. </w:t>
      </w:r>
      <w:r>
        <w:rPr>
          <w:rFonts w:ascii="Times New Roman" w:hAnsi="Times New Roman"/>
          <w:b w:val="false"/>
          <w:i w:val="false"/>
          <w:color w:val="000000"/>
          <w:sz w:val="22"/>
        </w:rPr>
        <w:t>Work-related services may be provided by a registered nurse, licensed mental health professional, psychologist, substance use counselor, community support specialist, case manager, ARNP, or PA. Services consist of assisting the member in managing mental health symptoms as they relate to job performance.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member to look for job situations that may cause symptoms to increase and creating strategies to manage these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to develop or enhance skills to obtain a work placement, such as individual work-related behavioral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communication, problem solving, and safety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personal skills such as time management and appropriate grooming for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441—78.46</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disability waiver service. </w:t>
      </w:r>
      <w:r>
        <w:rPr>
          <w:rFonts w:ascii="Times New Roman" w:hAnsi="Times New Roman"/>
          <w:b w:val="false"/>
          <w:i w:val="false"/>
          <w:color w:val="000000"/>
          <w:sz w:val="22"/>
        </w:rPr>
        <w:t xml:space="preserve">Payment will be approved for the following services to members eligible for the HCBS physical disability waiver as established in </w:t>
      </w:r>
      <w:hyperlink r:id="rId339">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78.46(1)</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340">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78.46(2)</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341">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are services provided pursuant to subrule </w:t>
      </w:r>
      <w:hyperlink r:id="rId342">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78.46(4)</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r>
        <w:rPr>
          <w:rFonts w:ascii="Times New Roman" w:hAnsi="Times New Roman"/>
          <w:b w:val="false"/>
          <w:i w:val="false"/>
          <w:color w:val="000000"/>
          <w:sz w:val="22"/>
        </w:rPr>
        <w:t xml:space="preserve">Specialized medical equipment are provided pursuant to subrule </w:t>
      </w:r>
      <w:hyperlink r:id="rId343">
        <w:r>
          <w:rPr>
            <w:rStyle w:val="Hyperlink"/>
            <w:rFonts w:ascii="Times New Roman" w:hAnsi="Times New Roman"/>
            <w:b w:val="false"/>
            <w:i w:val="false"/>
            <w:color w:val="000000"/>
            <w:sz w:val="22"/>
          </w:rPr>
          <w:t>78.43(8)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78.46(6)</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344">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78.46(7)</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physical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45">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346">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Pharmaceutical case management services. </w:t>
      </w:r>
      <w:r>
        <w:rPr>
          <w:rFonts w:ascii="Times New Roman" w:hAnsi="Times New Roman"/>
          <w:b w:val="false"/>
          <w:i w:val="false"/>
          <w:color w:val="000000"/>
          <w:sz w:val="22"/>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78.47(1)</w:t>
      </w:r>
      <w:r>
        <w:rPr>
          <w:rFonts w:ascii="Times New Roman" w:hAnsi="Times New Roman"/>
          <w:b w:val="false"/>
          <w:i w:val="false"/>
          <w:color w:val="000000"/>
          <w:sz w:val="22"/>
        </w:rPr>
        <w:t> </w:t>
      </w:r>
      <w:r>
        <w:rPr>
          <w:rFonts w:ascii="Times New Roman" w:hAnsi="Times New Roman"/>
          <w:b w:val="false"/>
          <w:i/>
          <w:color w:val="000000"/>
          <w:sz w:val="22"/>
        </w:rPr>
        <w:t xml:space="preserve">Medicaid recipient eligibility. </w:t>
      </w:r>
      <w:r>
        <w:rPr>
          <w:rFonts w:ascii="Times New Roman" w:hAnsi="Times New Roman"/>
          <w:b w:val="false"/>
          <w:i w:val="false"/>
          <w:color w:val="000000"/>
          <w:sz w:val="22"/>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w:t>
      </w:r>
      <w:r>
        <w:rPr>
          <w:rFonts w:ascii="Times New Roman" w:hAnsi="Times New Roman"/>
          <w:b w:val="false"/>
          <w:i w:val="false"/>
          <w:color w:val="000000"/>
          <w:sz w:val="22"/>
        </w:rPr>
        <w:t>Physicians and pharmacists shall meet the following criteria to provide pharmaceutical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ind w:left="120"/>
        <w:jc w:val="both"/>
      </w:pPr>
      <w:r>
        <w:rPr>
          <w:rFonts w:ascii="Times New Roman" w:hAnsi="Times New Roman"/>
          <w:b w:val="false"/>
          <w:i w:val="false"/>
          <w:color w:val="000000"/>
          <w:sz w:val="22"/>
        </w:rPr>
        <w:t>A copy of pharmaceutical case management records, including documentation of services provided, shall be maintained on file in each provider’s facility and be made available for audit by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shall be licensed to practice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ind w:left="120"/>
        <w:jc w:val="both"/>
      </w:pPr>
      <w:r>
        <w:rPr>
          <w:rFonts w:ascii="Times New Roman" w:hAnsi="Times New Roman"/>
          <w:b w:val="false"/>
          <w:i w:val="false"/>
          <w:color w:val="000000"/>
          <w:sz w:val="22"/>
        </w:rPr>
        <w:t>Acceptable professional training programs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doctor of pharmacy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programs containing similar coursework and supplemental practice site evaluation and reengineering, approved by the department with input from a peer review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78.47(3)</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ind w:left="120"/>
        <w:jc w:val="both"/>
      </w:pPr>
      <w:r>
        <w:rPr>
          <w:rFonts w:ascii="Times New Roman" w:hAnsi="Times New Roman"/>
          <w:b w:val="false"/>
          <w:i w:val="false"/>
          <w:color w:val="000000"/>
          <w:sz w:val="22"/>
        </w:rPr>
        <w:t>The PCM team shall provide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The initial assessment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evaluation by the pharmacist,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of indications, effectiveness, safety, and compliance of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for the presence of untreated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medication-related problems such as unnecessary medication therapy, suboptimal medication selection, inappropriate compliance, adverse drug reactions, and need for additional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report and recommendation from the pharmacist to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problem assessments. </w:t>
      </w:r>
      <w:r>
        <w:rPr>
          <w:rFonts w:ascii="Times New Roman" w:hAnsi="Times New Roman"/>
          <w:b w:val="false"/>
          <w:i w:val="false"/>
          <w:color w:val="000000"/>
          <w:sz w:val="22"/>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Problem follow-up assessments. </w:t>
      </w:r>
      <w:r>
        <w:rPr>
          <w:rFonts w:ascii="Times New Roman" w:hAnsi="Times New Roman"/>
          <w:b w:val="false"/>
          <w:i w:val="false"/>
          <w:color w:val="000000"/>
          <w:sz w:val="22"/>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Preventive follow-up assessments. </w:t>
      </w:r>
      <w:r>
        <w:rPr>
          <w:rFonts w:ascii="Times New Roman" w:hAnsi="Times New Roman"/>
          <w:b w:val="false"/>
          <w:i w:val="false"/>
          <w:color w:val="000000"/>
          <w:sz w:val="22"/>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441—78.48</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Payments will be made to local public health agencies on a fee schedule basis for providing vaccine and vaccine administration and testing for communicable disease. In order to be paid for the administration of a vaccine covered under the VFC program, a public health agency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441—78.49</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services. </w:t>
      </w:r>
      <w:r>
        <w:rPr>
          <w:rFonts w:ascii="Times New Roman" w:hAnsi="Times New Roman"/>
          <w:b w:val="false"/>
          <w:i w:val="false"/>
          <w:color w:val="000000"/>
          <w:sz w:val="22"/>
        </w:rPr>
        <w:t>Subject to the following subrules, payment will be made for medical services provided to Medicaid eligible children by infant and toddler program providers under the infants and toddlers with disabilities program administered by the department, Iowa child health specialty clinics, and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Payment will also be approved for infant and toddler case management services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Choice of provider. </w:t>
      </w:r>
      <w:r>
        <w:rPr>
          <w:rFonts w:ascii="Times New Roman" w:hAnsi="Times New Roman"/>
          <w:b w:val="false"/>
          <w:i w:val="false"/>
          <w:color w:val="000000"/>
          <w:sz w:val="22"/>
        </w:rPr>
        <w:t xml:space="preserve">Children who also are eligible to receive targeted case management services under </w:t>
      </w:r>
      <w:hyperlink r:id="rId347">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must choose whether to receive case management through the infant and toddler program or through </w:t>
      </w:r>
      <w:hyperlink r:id="rId348">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The chosen provider must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agency also provides direct services, the case management unit must be designed so that conflict of interest is addressed and does not result in self-referrals.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costs of any part of case management services are reimbursable under another program, the costs must be allocated between those programs and Medicaid in accordance with OMB Circular No. A-87 as amended to July 1, 2026, or any related or successor guidance or regulations regarding allocation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will determine whether a person has successfully completed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medical providers, social workers, and educators, if necessary, to form a complete assessment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documentation of the information gathered and the assessment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Repeating the assessment every six months to determine whether the child’s needs or preferences have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The case manager shall develop a plan of care based on the information collected through the assessment or reassessment.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child’s strengths and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 the child’s physical and social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goals of providing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service components. </w:t>
      </w:r>
      <w:r>
        <w:rPr>
          <w:rFonts w:ascii="Times New Roman" w:hAnsi="Times New Roman"/>
          <w:b w:val="false"/>
          <w:i w:val="false"/>
          <w:color w:val="000000"/>
          <w:sz w:val="22"/>
        </w:rPr>
        <w:t>Case management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the family in gaining access to the infant and toddler program services and other services identified in the child’s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family in identifying available service providers and funding resources and documenting unmet needs and gaps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referrals to providers for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Scheduling appointments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Facilitating the timely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Arranging payment for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services are being furnished in accordance with the child’s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services in the plan of care are adequate to meet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Keeping records, including preparing reports, updating the plan of care, making notes about plan activities in the child’s record, and preparing and responding to correspondence with the family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case management. </w:t>
      </w:r>
      <w:r>
        <w:rPr>
          <w:rFonts w:ascii="Times New Roman" w:hAnsi="Times New Roman"/>
          <w:b w:val="false"/>
          <w:i w:val="false"/>
          <w:color w:val="000000"/>
          <w:sz w:val="22"/>
        </w:rPr>
        <w:t>For each child receiving case management, case records must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chosen by the family to provide the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content, and units of case management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goals specified in the care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family has declined services in the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Time lines for providing services and reassessment;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need for and occurrences of coordination with case managers of other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78.49(3)</w:t>
      </w:r>
      <w:r>
        <w:rPr>
          <w:rFonts w:ascii="Times New Roman" w:hAnsi="Times New Roman"/>
          <w:b w:val="false"/>
          <w:i w:val="false"/>
          <w:color w:val="000000"/>
          <w:sz w:val="22"/>
        </w:rPr>
        <w:t> </w:t>
      </w:r>
      <w:r>
        <w:rPr>
          <w:rFonts w:ascii="Times New Roman" w:hAnsi="Times New Roman"/>
          <w:b w:val="false"/>
          <w:i/>
          <w:color w:val="000000"/>
          <w:sz w:val="22"/>
        </w:rPr>
        <w:t xml:space="preserve">Child’s eligibility. </w:t>
      </w:r>
      <w:r>
        <w:rPr>
          <w:rFonts w:ascii="Times New Roman" w:hAnsi="Times New Roman"/>
          <w:b w:val="false"/>
          <w:i w:val="false"/>
          <w:color w:val="000000"/>
          <w:sz w:val="22"/>
        </w:rPr>
        <w:t>Payable services must be provided to a child under the age of 36 months who is experiencing developmental delay or who has a condition that is known to have a high probability of resulting in developmental delay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infant and toddler program provider or by a practitioner under contract with the infant and toddler program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78.49(5)</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shall sign and return a Medicaid Billing Remittance form along with the funds remitted for the nonfederal share of the costs of the services specified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441—78.50</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w:t>
      </w:r>
      <w:r>
        <w:rPr>
          <w:rFonts w:ascii="Times New Roman" w:hAnsi="Times New Roman"/>
          <w:b w:val="false"/>
          <w:i w:val="false"/>
          <w:color w:val="000000"/>
          <w:sz w:val="22"/>
        </w:rPr>
        <w:t>Subject to the following subrules, payment will be made for medical services provided by local education agency services providers to Medicaid members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local education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supplies will be approved when the supplies are incidental to the patient’s care, e.g., syringes for injections, and do not exceed $25 per month. Durable medical equipment and other supplies are not covered as 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federal funding is not available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July 1, 2026, payment for transportation between home and school is not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78.50(2)</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local education agency services providers or by a practitioner under contract with the local education agency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78.50(3)</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services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provider shall sign and return a Medicaid Billing Remittance form along with the funds remitted for the nonfederal share of the costs of the services as specified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441—78.51</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service 638 facility services. </w:t>
      </w:r>
      <w:r>
        <w:rPr>
          <w:rFonts w:ascii="Times New Roman" w:hAnsi="Times New Roman"/>
          <w:b w:val="false"/>
          <w:i w:val="false"/>
          <w:color w:val="000000"/>
          <w:sz w:val="22"/>
        </w:rPr>
        <w:t xml:space="preserve">Payment will be made for all medically necessary services and supplies provided by a licensed practitioner at an Indian health service 638 facility, as defined at rule </w:t>
      </w:r>
      <w:hyperlink r:id="rId349">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within the practitioner’s scope of practice and subject to the limitations and exclusions set forth in subrule </w:t>
      </w:r>
      <w:hyperlink r:id="rId350">
        <w:r>
          <w:rPr>
            <w:rStyle w:val="Hyperlink"/>
            <w:rFonts w:ascii="Times New Roman" w:hAnsi="Times New Roman"/>
            <w:b w:val="false"/>
            <w:i w:val="false"/>
            <w:color w:val="000000"/>
            <w:sz w:val="22"/>
          </w:rPr>
          <w:t>78.1(1)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441—78.52</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services. </w:t>
      </w:r>
      <w:r>
        <w:rPr>
          <w:rFonts w:ascii="Times New Roman" w:hAnsi="Times New Roman"/>
          <w:b w:val="false"/>
          <w:i w:val="false"/>
          <w:color w:val="000000"/>
          <w:sz w:val="22"/>
        </w:rPr>
        <w:t xml:space="preserve">Payment will be approved for the following services to members eligible for the HCBS children’s mental health waiver as established in </w:t>
      </w:r>
      <w:hyperlink r:id="rId35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children’s mental health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52">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353">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and adaptive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Items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Items funded by educational or vocational rehabilitation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Items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modification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The amount of the fee will be determined as directed in </w:t>
      </w:r>
      <w:hyperlink r:id="rId354">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w:t>
      </w:r>
      <w:r>
        <w:rPr>
          <w:rFonts w:ascii="Times New Roman" w:hAnsi="Times New Roman"/>
          <w:b w:val="false"/>
          <w:i w:val="false"/>
          <w:color w:val="000000"/>
          <w:sz w:val="22"/>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and community support services shall be provided under the recommendation and direction of a mental health professional who is a member of the member’s interdisciplinary team pursuant to </w:t>
      </w:r>
      <w:hyperlink r:id="rId35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shall incorporate recommended support interventions and activities,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a crisis support network for the member and for the member’s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Modeling and coaching effective coping strategies for the member’s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resilience to the stigma of serious emotional disturbance for the member and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the stigma of serious emotional disturbance by the development of relationships with peers and community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Modeling and coaching the strategies and interventions identified in the member’s crisis intervention plan as defined in </w:t>
      </w:r>
      <w:hyperlink r:id="rId35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for life situations with the member’s family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medication management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personal hygiene and grooming skills that contribute to the member’s positive self-image.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positive socialization and citizenship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must have identified the transportation or therapeutic resource as a support need and included that need in the case manager’s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amount available for transportation and therapeutic resources must be listed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legal guardian shall submit a signed statement that the transportation or therapeutic resource cannot be provided by the member or the member’s family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Medicaid case manager will maintain a signed statement that potential community resources are unavailable and will list the community resources contacted to fund the transportation or therapeutic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transportation or therapeutic resource must not be otherwise eligible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components are specifically excluded from family and community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Academic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supervision and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unit of family and community support services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w:t>
      </w:r>
      <w:r>
        <w:rPr>
          <w:rFonts w:ascii="Times New Roman" w:hAnsi="Times New Roman"/>
          <w:b w:val="false"/>
          <w:i w:val="false"/>
          <w:color w:val="000000"/>
          <w:sz w:val="22"/>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in-home family therapy is to maintain a cohesive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In-home family therapy is exclusive of and cannot serve as a substitute for individual therapy, family therapy, or other mental health therapy that may be obtained through Medicaid or other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in-home family therapy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357">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441—78.53</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pathology services. </w:t>
      </w:r>
      <w:r>
        <w:rPr>
          <w:rFonts w:ascii="Times New Roman" w:hAnsi="Times New Roman"/>
          <w:b w:val="false"/>
          <w:i w:val="false"/>
          <w:color w:val="000000"/>
          <w:sz w:val="22"/>
        </w:rPr>
        <w:t xml:space="preserve">Payment will be approved for the same services provided by a speech-language pathologist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 (Medicare).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441—78.54</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Services rendered via telehealth. </w:t>
      </w:r>
      <w:r>
        <w:rPr>
          <w:rFonts w:ascii="Times New Roman" w:hAnsi="Times New Roman"/>
          <w:b w:val="false"/>
          <w:i w:val="false"/>
          <w:color w:val="000000"/>
          <w:sz w:val="22"/>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358">
        <w:r>
          <w:rPr>
            <w:rStyle w:val="Hyperlink"/>
            <w:rFonts w:ascii="Times New Roman" w:hAnsi="Times New Roman"/>
            <w:b w:val="false"/>
            <w:i w:val="false"/>
            <w:color w:val="000000"/>
            <w:sz w:val="22"/>
          </w:rPr>
          <w:t>481—655.9</w:t>
        </w:r>
      </w:hyperlink>
      <w:r>
        <w:rPr>
          <w:rFonts w:ascii="Times New Roman" w:hAnsi="Times New Roman"/>
          <w:b w:val="false"/>
          <w:i w:val="false"/>
          <w:color w:val="000000"/>
          <w:sz w:val="22"/>
        </w:rPr>
        <w:t>(147,148,272C). Health care services provided through in-person consultations or through telehealth shall be treated as equivalent services for the purposes of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441—78.55</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r>
        <w:rPr>
          <w:rFonts w:ascii="Times New Roman" w:hAnsi="Times New Roman"/>
          <w:b w:val="false"/>
          <w:i w:val="false"/>
          <w:color w:val="000000"/>
          <w:sz w:val="22"/>
        </w:rPr>
        <w:t>Payment will be made for community-based neurobehavioral rehabilitation services that do not duplicate other services covered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“Brain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diagnosis in accordance with rule </w:t>
      </w:r>
      <w:hyperlink r:id="rId359">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w:t>
      </w:r>
      <w:r>
        <w:rPr>
          <w:rFonts w:ascii="Times New Roman" w:hAnsi="Times New Roman"/>
          <w:b w:val="false"/>
          <w:i w:val="false"/>
          <w:color w:val="000000"/>
          <w:sz w:val="22"/>
        </w:rPr>
        <w:t>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community-based neurobehavioral rehabilitation services”</w:t>
      </w:r>
      <w:r>
        <w:rPr>
          <w:rFonts w:ascii="Times New Roman" w:hAnsi="Times New Roman"/>
          <w:b w:val="false"/>
          <w:i w:val="false"/>
          <w:color w:val="000000"/>
          <w:sz w:val="22"/>
        </w:rPr>
        <w:t> </w:t>
      </w:r>
      <w:r>
        <w:rPr>
          <w:rFonts w:ascii="Times New Roman" w:hAnsi="Times New Roman"/>
          <w:b w:val="false"/>
          <w:i w:val="false"/>
          <w:color w:val="000000"/>
          <w:sz w:val="22"/>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36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“Neurobehavioral rehabilitation”</w:t>
      </w:r>
      <w:r>
        <w:rPr>
          <w:rFonts w:ascii="Times New Roman" w:hAnsi="Times New Roman"/>
          <w:b w:val="false"/>
          <w:i w:val="false"/>
          <w:color w:val="000000"/>
          <w:sz w:val="22"/>
        </w:rPr>
        <w:t>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“Standardized assessment”</w:t>
      </w:r>
      <w:r>
        <w:rPr>
          <w:rFonts w:ascii="Times New Roman" w:hAnsi="Times New Roman"/>
          <w:b w:val="false"/>
          <w:i w:val="false"/>
          <w:color w:val="000000"/>
          <w:sz w:val="22"/>
        </w:rPr>
        <w: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community-based neurobehavioral rehabilitation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Brain injury diagnosis. </w:t>
      </w:r>
      <w:r>
        <w:rPr>
          <w:rFonts w:ascii="Times New Roman" w:hAnsi="Times New Roman"/>
          <w:b w:val="false"/>
          <w:i w:val="false"/>
          <w:color w:val="000000"/>
          <w:sz w:val="22"/>
        </w:rPr>
        <w:t xml:space="preserve">To be eligible for community-based neurobehavioral rehabilitation services, the member must have a brain injury diagnosis as set forth in rule </w:t>
      </w:r>
      <w:hyperlink r:id="rId361">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the following post-brain injury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exhibits neurobehavioral symptoms in such frequency, severity or intensity that community-based neurobehavioral rehabilitation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member shall have an assessment of need completed prior to admission. The member shall have the Mayo-Portland Adaptability Inventory (MPAI) assessment as amended to July 1, 2026, completed by a qualified trained assessor. The assessment of need shall document the member’s need for community-based neurobehavioral rehabilitation, and Iowa Medicaid or the member’s MCO has determined that the member is in need of specialty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Standards for assessment. </w:t>
      </w:r>
      <w:r>
        <w:rPr>
          <w:rFonts w:ascii="Times New Roman" w:hAnsi="Times New Roman"/>
          <w:b w:val="false"/>
          <w:i w:val="false"/>
          <w:color w:val="000000"/>
          <w:sz w:val="22"/>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triggers of unwanted behaviors and the member’s ability to self-manage the member’s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rehabilitation and medical care history to include medication history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employment history and the member’s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dietary and nutritional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community accessibility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access to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member’s history of substance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member’s vulnerability to exploitation and history of risk of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history and status of relationships, natural supports and socialization.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admission. </w:t>
      </w:r>
      <w:r>
        <w:rPr>
          <w:rFonts w:ascii="Times New Roman" w:hAnsi="Times New Roman"/>
          <w:b w:val="false"/>
          <w:i w:val="false"/>
          <w:color w:val="000000"/>
          <w:sz w:val="22"/>
        </w:rPr>
        <w:t>In the event that emergency admission is required, the assessment shall be completed within ten calendar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78.55(3)</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residential rehabilitation services are provided to a member living in a three-to-five-bed residential care facility with a specialized license designation issued by the department of inspections, appeals, and licensing;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Community-based neurobehavioral intermittent rehabilitation services are provided to a member living in the member’s own residence in the community. </w:t>
      </w:r>
    </w:p>
    <w:p>
      <w:pPr>
        <w:spacing w:before="0" w:after="0"/>
        <w:ind w:left="120"/>
        <w:jc w:val="both"/>
      </w:pPr>
      <w:r>
        <w:rPr>
          <w:rFonts w:ascii="Times New Roman" w:hAnsi="Times New Roman"/>
          <w:b w:val="false"/>
          <w:i w:val="false"/>
          <w:color w:val="000000"/>
          <w:sz w:val="22"/>
        </w:rPr>
        <w:t>No payment shall be made for community-based neurobehavioral rehabilitation when provided in a medical institution such as an ICF/ID, nursing facility or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identified in the treatment plan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Prescriptive programming to maintain and advance progress made in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preventative,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coordinating and obtaining physical, oral, or mental health care and any other professional services necessary to the member’s health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Behavioral and cognitive programming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consultation with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and wellness management including dietary and nutritional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Progressive physical strengthening, fitness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obtaining and use of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Sobriety support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preparation for transition to less intensive services including accessing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in seeking substance use and co-occurring disorders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with obtaining legal consultation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community accessibility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household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recreational and leisure skill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Opportunities to learn about brain injury and individual needs following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Assistance with pursuit of education and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Protective oversight in the residential setting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support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a program structure and support for members served so they can relearn or regain skills for maximum independence, community access, and integration.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intermittent services identified in the treatment plan may occur in the member’s own home with or on behalf of the member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 of a program structure and support for members served so they can re-learn or regain skills for maximum community inclusion and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obtaining and use of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the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community-based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Transitional support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of treatment plan. The community-based neurobehavioral services provider shall submit the proposed plan of care, the results of the member’s formal assessment, and medical documentation supporting a brain injury diagnosis to Iowa Medicaid for approval before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treatment plan. Within 30 days of admission, the provider shall submit the member’s treatment plan to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Medicaid will approve the provider’s treatment plan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 conforms to the medical necessity requirements in subrule </w:t>
      </w:r>
      <w:hyperlink r:id="rId362">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plan is consistent with the written diagnosis and treatment recommendations made by a licensed medical professional that is a licensed neuropsychologist or neurologist, M.D., or D.O.;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treatment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provider can demonstrate that the provider possesses the skills and resources necessary to implement the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treatment plan does not exceed 180 days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treatment summary detailing the member’s response to treatment during the previous approval period must be submitted when approval for subsequent plans is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plans. Iowa Medicaid may approve a subsequent neurobehavioral rehabilitation treatment plan that conforms to the conditions of medical necessity pursuant to subrule </w:t>
      </w:r>
      <w:hyperlink r:id="rId363">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 xml:space="preserve"> and to the conditions pursuant to subrule </w:t>
      </w:r>
      <w:hyperlink r:id="rId364">
        <w:r>
          <w:rPr>
            <w:rStyle w:val="Hyperlink"/>
            <w:rFonts w:ascii="Times New Roman" w:hAnsi="Times New Roman"/>
            <w:b w:val="false"/>
            <w:i w:val="false"/>
            <w:color w:val="000000"/>
            <w:sz w:val="22"/>
          </w:rPr>
          <w:t>78.55(3)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Quality review. Iowa Medicaid may perform the quality review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elapsed from referral to rehabilitation treatment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stay per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affiliation of the medical professional recommending services with the neurobehavioral rehabilitation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Gaps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and stakeholder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compliance with standards listed in rule </w:t>
      </w:r>
      <w:hyperlink r:id="rId365">
        <w:r>
          <w:rPr>
            <w:rStyle w:val="Hyperlink"/>
            <w:rFonts w:ascii="Times New Roman" w:hAnsi="Times New Roman"/>
            <w:b w:val="false"/>
            <w:i w:val="false"/>
            <w:color w:val="000000"/>
            <w:sz w:val="22"/>
          </w:rPr>
          <w:t>441—77.53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78.55(4)</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will be deemed to exempt coverage of community-based neurobehavioral rehabilitation services from the requirement that services be medically necessary.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good medical practice. The standards of good practice for each field of medical and remedial care covered by the Iowa Medicaid program are those standards of good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best practices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78.55(5)</w:t>
      </w:r>
      <w:r>
        <w:rPr>
          <w:rFonts w:ascii="Times New Roman" w:hAnsi="Times New Roman"/>
          <w:b w:val="false"/>
          <w:i w:val="false"/>
          <w:color w:val="000000"/>
          <w:sz w:val="22"/>
        </w:rPr>
        <w:t> </w:t>
      </w:r>
      <w:r>
        <w:rPr>
          <w:rFonts w:ascii="Times New Roman" w:hAnsi="Times New Roman"/>
          <w:b w:val="false"/>
          <w:i/>
          <w:color w:val="000000"/>
          <w:sz w:val="22"/>
        </w:rPr>
        <w:t xml:space="preserve">Documentation standards. </w:t>
      </w:r>
      <w:r>
        <w:rPr>
          <w:rFonts w:ascii="Times New Roman" w:hAnsi="Times New Roman"/>
          <w:b w:val="false"/>
          <w:i w:val="false"/>
          <w:color w:val="000000"/>
          <w:sz w:val="22"/>
        </w:rPr>
        <w:t xml:space="preserve">Community-based neurobehavioral rehabilitation service providers shall maintain service provision records, financial records, and clinical records in accordance with the provisions of rule </w:t>
      </w:r>
      <w:hyperlink r:id="rId36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441—78.56</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78.56(1)</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are services that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367">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xml:space="preserve">. Nursing services include activities that require the expertise of a nurse, such as physical assessment, tracheostomy care, medication administration, and tube feedings.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that are provided by an aide but are delegated and supervised by a registered nurse under the direction of the member’s physician. Payment for personal care services may be approved if the services are determined to be medically necessary as defined in subrule </w:t>
      </w:r>
      <w:hyperlink r:id="rId368">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78.56(3)</w:t>
      </w:r>
      <w:r>
        <w:rPr>
          <w:rFonts w:ascii="Times New Roman" w:hAnsi="Times New Roman"/>
          <w:b w:val="false"/>
          <w:i w:val="false"/>
          <w:color w:val="000000"/>
          <w:sz w:val="22"/>
        </w:rPr>
        <w:t> </w:t>
      </w:r>
      <w:r>
        <w:rPr>
          <w:rFonts w:ascii="Times New Roman" w:hAnsi="Times New Roman"/>
          <w:b w:val="false"/>
          <w:i w:val="false"/>
          <w:color w:val="000000"/>
          <w:sz w:val="22"/>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369">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78.56(4)</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therapies are those services that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370">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78.56(5)</w:t>
      </w:r>
      <w:r>
        <w:rPr>
          <w:rFonts w:ascii="Times New Roman" w:hAnsi="Times New Roman"/>
          <w:b w:val="false"/>
          <w:i w:val="false"/>
          <w:color w:val="000000"/>
          <w:sz w:val="22"/>
        </w:rPr>
        <w:t> </w:t>
      </w:r>
      <w:r>
        <w:rPr>
          <w:rFonts w:ascii="Times New Roman" w:hAnsi="Times New Roman"/>
          <w:b w:val="false"/>
          <w:i w:val="false"/>
          <w:color w:val="000000"/>
          <w:sz w:val="22"/>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78.56(6)</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ordered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on which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Physician’s signature and date. The treatment plan must be signed and dated by the physician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appropriate department form is utilized during the prior authorization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78.56(7)</w:t>
      </w:r>
      <w:r>
        <w:rPr>
          <w:rFonts w:ascii="Times New Roman" w:hAnsi="Times New Roman"/>
          <w:b w:val="false"/>
          <w:i w:val="false"/>
          <w:color w:val="000000"/>
          <w:sz w:val="22"/>
        </w:rPr>
        <w:t> </w:t>
      </w:r>
      <w:r>
        <w:rPr>
          <w:rFonts w:ascii="Times New Roman" w:hAnsi="Times New Roman"/>
          <w:b w:val="false"/>
          <w:i w:val="false"/>
          <w:color w:val="000000"/>
          <w:sz w:val="22"/>
        </w:rPr>
        <w:t>Nursing, personal care, and psychosocial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members aged 21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that require prior authorizations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provided simultaneously with other Medicaid services (e.g., home health aide, physical, occupational, or speech therapy services, etc.).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exceed the services that are approvable under the private duty nursing and personal care program pursuant to subrule </w:t>
      </w:r>
      <w:hyperlink r:id="rId371">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while the member is in institutional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441—78.57</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78.57(1)</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Payment will be made to QMB providers for a QMB-eligible member’s coinsurance, copayment, and deductible for Medicare-covered services. The eligible member may be responsible for copayments pursuant to </w:t>
      </w:r>
      <w:hyperlink r:id="rId372">
        <w:r>
          <w:rPr>
            <w:rStyle w:val="Hyperlink"/>
            <w:rFonts w:ascii="Times New Roman" w:hAnsi="Times New Roman"/>
            <w:b w:val="false"/>
            <w:i w:val="false"/>
            <w:color w:val="000000"/>
            <w:sz w:val="22"/>
          </w:rPr>
          <w:t>441—subrule 79.1(13)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cost sharing”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Medicare member’s responsibility for a Medicare-covered service. “Medicare cost sharing” includes coinsurance, copayments, and deductibles.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Medicare beneficiary”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for the QMB program pursuant to </w:t>
      </w:r>
      <w:hyperlink r:id="rId373">
        <w:r>
          <w:rPr>
            <w:rStyle w:val="Hyperlink"/>
            <w:rFonts w:ascii="Times New Roman" w:hAnsi="Times New Roman"/>
            <w:b w:val="false"/>
            <w:i w:val="false"/>
            <w:color w:val="000000"/>
            <w:sz w:val="22"/>
          </w:rPr>
          <w:t>441—paragraph 75.6(5)</w:t>
        </w:r>
        <w:r>
          <w:rPr>
            <w:rFonts w:ascii="Times New Roman" w:hAnsi="Times New Roman"/>
            <w:b w:val="false"/>
            <w:i/>
            <w:color w:val="000000"/>
            <w:sz w:val="22"/>
          </w:rPr>
          <w:t>“a.”</w:t>
        </w:r>
      </w:hyperlink>
      <w:r>
        <w:rPr>
          <w:rFonts w:ascii="Times New Roman" w:hAnsi="Times New Roman"/>
          <w:b w:val="false"/>
          <w:i w:val="false"/>
          <w:color w:val="000000"/>
          <w:sz w:val="22"/>
        </w:rPr>
        <w:t xml:space="preserve"> Under the QMB program, Medicaid pays the individual’s Medicare Part A and B premiums, coinsurance, copayment, and deductible (except for Part 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441—78.58</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 xml:space="preserve">A HIPP provider may bill the department for the HIPP-eligible member’s out-of-pocket cost-sharing obligations. Reimbursement of claims is limited to in-network coinsurance, copayments, and deductibles of the HIPP-eligible member’s health insurance, paid for through the HIPP program. The HIPP-eligible member may be responsible for a copayment pursuant to </w:t>
      </w:r>
      <w:hyperlink r:id="rId374">
        <w:r>
          <w:rPr>
            <w:rStyle w:val="Hyperlink"/>
            <w:rFonts w:ascii="Times New Roman" w:hAnsi="Times New Roman"/>
            <w:b w:val="false"/>
            <w:i w:val="false"/>
            <w:color w:val="000000"/>
            <w:sz w:val="22"/>
          </w:rPr>
          <w:t>441—subrule 79.1(13)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sharing”</w:t>
      </w:r>
      <w:r>
        <w:rPr>
          <w:rFonts w:ascii="Times New Roman" w:hAnsi="Times New Roman"/>
          <w:b w:val="false"/>
          <w:i w:val="false"/>
          <w:color w:val="000000"/>
          <w:sz w:val="22"/>
        </w:rPr>
        <w:t> </w:t>
      </w:r>
      <w:r>
        <w:rPr>
          <w:rFonts w:ascii="Times New Roman" w:hAnsi="Times New Roman"/>
          <w:b w:val="false"/>
          <w:i w:val="false"/>
          <w:color w:val="000000"/>
          <w:sz w:val="22"/>
        </w:rPr>
        <w:t>means the member’s health insurance in-network responsibility for a covered service.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eligible for Medicaid pursuant to rule </w:t>
      </w:r>
      <w:hyperlink r:id="rId37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et seq. and who qualifies for and is participating in the department’s HIPP program prescribed under rule </w:t>
      </w:r>
      <w:hyperlink r:id="rId376">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 xml:space="preserve">(249A).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insurance premium payment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“HIPP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same meaning as provided in rule </w:t>
      </w:r>
      <w:hyperlink r:id="rId377">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441—78.59</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r>
        <w:rPr>
          <w:rFonts w:ascii="Times New Roman" w:hAnsi="Times New Roman"/>
          <w:b w:val="false"/>
          <w:i w:val="false"/>
          <w:color w:val="000000"/>
          <w:sz w:val="22"/>
        </w:rPr>
        <w:t xml:space="preserve">Payment will be made to providers (eligible pursuant to rule </w:t>
      </w:r>
      <w:hyperlink r:id="rId378">
        <w:r>
          <w:rPr>
            <w:rStyle w:val="Hyperlink"/>
            <w:rFonts w:ascii="Times New Roman" w:hAnsi="Times New Roman"/>
            <w:b w:val="false"/>
            <w:i w:val="false"/>
            <w:color w:val="000000"/>
            <w:sz w:val="22"/>
          </w:rPr>
          <w:t>441—77.54</w:t>
        </w:r>
      </w:hyperlink>
      <w:r>
        <w:rPr>
          <w:rFonts w:ascii="Times New Roman" w:hAnsi="Times New Roman"/>
          <w:b w:val="false"/>
          <w:i w:val="false"/>
          <w:color w:val="000000"/>
          <w:sz w:val="22"/>
        </w:rPr>
        <w:t xml:space="preserve">(249A)) of crisis response services, crisis stabilization community-based services, and crisis stabilization residential services delivered as set forth in </w:t>
      </w:r>
      <w:hyperlink r:id="rId37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441—78.60</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r>
        <w:rPr>
          <w:rFonts w:ascii="Times New Roman" w:hAnsi="Times New Roman"/>
          <w:b w:val="false"/>
          <w:i w:val="false"/>
          <w:color w:val="000000"/>
          <w:sz w:val="22"/>
        </w:rPr>
        <w:t xml:space="preserve">Payment will be made to providers (eligible pursuant to rule </w:t>
      </w:r>
      <w:hyperlink r:id="rId380">
        <w:r>
          <w:rPr>
            <w:rStyle w:val="Hyperlink"/>
            <w:rFonts w:ascii="Times New Roman" w:hAnsi="Times New Roman"/>
            <w:b w:val="false"/>
            <w:i w:val="false"/>
            <w:color w:val="000000"/>
            <w:sz w:val="22"/>
          </w:rPr>
          <w:t>441—77.55</w:t>
        </w:r>
      </w:hyperlink>
      <w:r>
        <w:rPr>
          <w:rFonts w:ascii="Times New Roman" w:hAnsi="Times New Roman"/>
          <w:b w:val="false"/>
          <w:i w:val="false"/>
          <w:color w:val="000000"/>
          <w:sz w:val="22"/>
        </w:rPr>
        <w:t xml:space="preserve">(249A)) for the provision of subacute mental health care facility services that meet the standards outlined in </w:t>
      </w:r>
      <w:hyperlink r:id="rId381">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8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3/20/74]</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emergency 12/23/75—published 1/12/76, effective 2/1/76]</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emergency 6/9/76—published 6/28/76, effective 6/9/76]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12/17/76—published 1/12/77, effective 1/1/77]</w:t>
      </w:r>
    </w:p>
    <w:p>
      <w:pPr>
        <w:spacing w:before="0" w:after="0"/>
        <w:ind w:left="120"/>
        <w:jc w:val="center"/>
      </w:pPr>
      <w:r>
        <w:rPr>
          <w:rFonts w:ascii="Times New Roman" w:hAnsi="Times New Roman"/>
          <w:b w:val="false"/>
          <w:i w:val="false"/>
          <w:color w:val="000000"/>
          <w:sz w:val="21"/>
        </w:rPr>
        <w:t>[Filed 2/25/77, Notice 1/12/77—published 3/23/77, effective 4/27/77]</w:t>
      </w:r>
    </w:p>
    <w:p>
      <w:pPr>
        <w:spacing w:before="0" w:after="0"/>
        <w:ind w:left="120"/>
        <w:jc w:val="center"/>
      </w:pPr>
      <w:r>
        <w:rPr>
          <w:rFonts w:ascii="Times New Roman" w:hAnsi="Times New Roman"/>
          <w:b w:val="false"/>
          <w:i w:val="false"/>
          <w:color w:val="000000"/>
          <w:sz w:val="21"/>
        </w:rPr>
        <w:t>[Filed emergency 4/13/77—published 5/4/77, effective 4/13/77]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8/24/77—published 9/21/77, effective 8/26/77]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11/22/77, Notice 9/7/77—published 12/14/77, effective 2/1/78]</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emergency 6/9/78—published 6/28/78, effective 7/5/78]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8/18/78, Notice 5/31/78—published 9/6/78, effective 10/11/78]</w:t>
      </w:r>
    </w:p>
    <w:p>
      <w:pPr>
        <w:spacing w:before="0" w:after="0"/>
        <w:ind w:left="120"/>
        <w:jc w:val="center"/>
      </w:pPr>
      <w:r>
        <w:rPr>
          <w:rFonts w:ascii="Times New Roman" w:hAnsi="Times New Roman"/>
          <w:b w:val="false"/>
          <w:i w:val="false"/>
          <w:color w:val="000000"/>
          <w:sz w:val="21"/>
        </w:rPr>
        <w:t>[Filed 9/12/78, Notice 4/19/78—published 10/4/78, effective 11/8/78]</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11/20/78, Notice 10/4/78—published 12/13/78, effective 1/17/79]</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12/6/78, Notice 5/31/78—published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1/31/79—published 2/21/79, effective 3/8/79]</w:t>
      </w:r>
    </w:p>
    <w:p>
      <w:pPr>
        <w:spacing w:before="0" w:after="0"/>
        <w:ind w:left="120"/>
        <w:jc w:val="center"/>
      </w:pPr>
      <w:r>
        <w:rPr>
          <w:rFonts w:ascii="Times New Roman" w:hAnsi="Times New Roman"/>
          <w:b w:val="false"/>
          <w:i w:val="false"/>
          <w:color w:val="000000"/>
          <w:sz w:val="21"/>
        </w:rPr>
        <w:t>[Filed 3/30/79, Notice 2/21/79—published 4/18/79, effective 6/1/79]</w:t>
      </w:r>
    </w:p>
    <w:p>
      <w:pPr>
        <w:spacing w:before="0" w:after="0"/>
        <w:ind w:left="120"/>
        <w:jc w:val="center"/>
      </w:pPr>
      <w:r>
        <w:rPr>
          <w:rFonts w:ascii="Times New Roman" w:hAnsi="Times New Roman"/>
          <w:b w:val="false"/>
          <w:i w:val="false"/>
          <w:color w:val="000000"/>
          <w:sz w:val="21"/>
        </w:rPr>
        <w:t>[Filed 7/3/79, Notice 4/18/79—published 7/25/79, effective 8/29/79]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emergency 9/6/79 after Notice 7/11/79—published 10/3/79, effective 10/1/79]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8/22/79—published 11/14/79, effective 12/19/79]</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7/3/80—published 7/23/80, effective 7/8/80 to 1/1/81]</w:t>
      </w:r>
    </w:p>
    <w:p>
      <w:pPr>
        <w:spacing w:before="0" w:after="0"/>
        <w:ind w:left="120"/>
        <w:jc w:val="center"/>
      </w:pPr>
      <w:r>
        <w:rPr>
          <w:rFonts w:ascii="Times New Roman" w:hAnsi="Times New Roman"/>
          <w:b w:val="false"/>
          <w:i w:val="false"/>
          <w:color w:val="000000"/>
          <w:sz w:val="21"/>
        </w:rPr>
        <w:t>[Filed 7/3/80, Notice 4/14/80—published 7/23/80, effective 8/27/80]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without Notice 9/26/80—published 10/15/80, effective 12/1/80]</w:t>
      </w:r>
    </w:p>
    <w:p>
      <w:pPr>
        <w:spacing w:before="0" w:after="0"/>
        <w:ind w:left="120"/>
        <w:jc w:val="center"/>
      </w:pPr>
      <w:r>
        <w:rPr>
          <w:rFonts w:ascii="Times New Roman" w:hAnsi="Times New Roman"/>
          <w:b w:val="false"/>
          <w:i w:val="false"/>
          <w:color w:val="000000"/>
          <w:sz w:val="21"/>
        </w:rPr>
        <w:t>[Filed 10/23/80, Notice 7/23/80—published 11/12/80, effective 12/17/80]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12/19/80, Notices 10/15/80, 10/29/80—published 1/7/81, effective 2/11/81]</w:t>
      </w:r>
    </w:p>
    <w:p>
      <w:pPr>
        <w:spacing w:before="0" w:after="0"/>
        <w:ind w:left="120"/>
        <w:jc w:val="center"/>
      </w:pPr>
      <w:r>
        <w:rPr>
          <w:rFonts w:ascii="Times New Roman" w:hAnsi="Times New Roman"/>
          <w:b w:val="false"/>
          <w:i w:val="false"/>
          <w:color w:val="000000"/>
          <w:sz w:val="21"/>
        </w:rPr>
        <w:t>[Filed emergency 1/20/81—published 2/18/81, effective 1/20/81]</w:t>
      </w:r>
    </w:p>
    <w:p>
      <w:pPr>
        <w:spacing w:before="0" w:after="0"/>
        <w:ind w:left="120"/>
        <w:jc w:val="center"/>
      </w:pPr>
      <w:r>
        <w:rPr>
          <w:rFonts w:ascii="Times New Roman" w:hAnsi="Times New Roman"/>
          <w:b w:val="false"/>
          <w:i w:val="false"/>
          <w:color w:val="000000"/>
          <w:sz w:val="21"/>
        </w:rPr>
        <w:t>[Filed 2/12/81, Notice 11/12/80—published 3/4/81, effective 7/1/81]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8/24/81 after Notice 7/8/81—published 9/16/81,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11/25/81—published 2/17/82, effective 4/1/82]</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4/5/82, Notice 1/20/82—published 4/28/82, effective 6/2/82]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7/30/82, Notices 3/3/82, 4/28/82—published 8/18/82, effective 10/1/82]</w:t>
      </w:r>
    </w:p>
    <w:p>
      <w:pPr>
        <w:spacing w:before="0" w:after="0"/>
        <w:ind w:left="120"/>
        <w:jc w:val="center"/>
      </w:pPr>
      <w:r>
        <w:rPr>
          <w:rFonts w:ascii="Times New Roman" w:hAnsi="Times New Roman"/>
          <w:b w:val="false"/>
          <w:i w:val="false"/>
          <w:color w:val="000000"/>
          <w:sz w:val="21"/>
        </w:rPr>
        <w:t>[Filed emergency 9/23/82 after Notice 6/23/82—published 10/13/82, effective 10/1/82]</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Notices 3/30/83, 4/13/83—published 6/8/83,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7/29/83—published 8/17/83,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7/29/83, Notice 5/25/83—published 8/17/83, effective 10/1/83]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10/28/83, Notices 8/31/83, 9/14/83—published 11/23/83, effective 1/1/84]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5/4/84, Notice 3/14/84—published 5/23/84, effective 7/1/84]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12/11/84, Notice 10/10/84—published 1/2/85, effective 3/1/85]</w:t>
      </w:r>
    </w:p>
    <w:p>
      <w:pPr>
        <w:spacing w:before="0" w:after="0"/>
        <w:ind w:left="120"/>
        <w:jc w:val="center"/>
      </w:pPr>
      <w:r>
        <w:rPr>
          <w:rFonts w:ascii="Times New Roman" w:hAnsi="Times New Roman"/>
          <w:b w:val="false"/>
          <w:i w:val="false"/>
          <w:color w:val="000000"/>
          <w:sz w:val="21"/>
        </w:rPr>
        <w:t>[Filed 1/21/85, Notice 10/24/84—published 2/13/85, effective 4/1/85]</w:t>
      </w:r>
    </w:p>
    <w:p>
      <w:pPr>
        <w:spacing w:before="0" w:after="0"/>
        <w:ind w:left="120"/>
        <w:jc w:val="center"/>
      </w:pPr>
      <w:r>
        <w:rPr>
          <w:rFonts w:ascii="Times New Roman" w:hAnsi="Times New Roman"/>
          <w:b w:val="false"/>
          <w:i w:val="false"/>
          <w:color w:val="000000"/>
          <w:sz w:val="21"/>
        </w:rPr>
        <w:t>[Filed 4/29/85, Notice 12/19/84—published 5/22/85, effective 7/1/85]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5/29/85, Notice 3/27/85—published 6/19/85, effective 8/1/85]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10/18/85 after Notice 9/11/85—published 11/6/85, effective 11/1/85]</w:t>
      </w:r>
    </w:p>
    <w:p>
      <w:pPr>
        <w:spacing w:before="0" w:after="0"/>
        <w:ind w:left="120"/>
        <w:jc w:val="center"/>
      </w:pPr>
      <w:r>
        <w:rPr>
          <w:rFonts w:ascii="Times New Roman" w:hAnsi="Times New Roman"/>
          <w:b w:val="false"/>
          <w:i w:val="false"/>
          <w:color w:val="000000"/>
          <w:sz w:val="21"/>
        </w:rPr>
        <w:t>[Filed 11/15/85, Notice 9/25/85—published 12/4/85, effective 2/1/86]</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1/1/86,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emergency 12/22/86—published 1/14/87, effective 2/1/87]</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Notices 12/17/86, 12/31/86, 1/14/87—published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5/29/87, Notices 4/8/87, 4/22/87—published 6/17/87, effective 8/1/87]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6/19/87, Notice 5/6/87—published 7/15/87, effective 9/1/87]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8/28/87, Notices 6/17/87, 7/15/87—published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10/11/89, Notice 8/23/89—published 11/1/89, effective 1/1/90]</w:t>
      </w:r>
    </w:p>
    <w:p>
      <w:pPr>
        <w:spacing w:before="0" w:after="0"/>
        <w:ind w:left="120"/>
        <w:jc w:val="center"/>
      </w:pPr>
      <w:r>
        <w:rPr>
          <w:rFonts w:ascii="Times New Roman" w:hAnsi="Times New Roman"/>
          <w:b w:val="false"/>
          <w:i w:val="false"/>
          <w:color w:val="000000"/>
          <w:sz w:val="21"/>
        </w:rPr>
        <w:t>[Filed 11/16/89, Notice 8/23/89—published 12/13/89, effective 2/1/90]</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1/17/90, Notice 8/23/89—published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Notices 11/15/89, 1/24/90,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Notices 5/16/90, 5/30/90—published 8/8/90, effective 10/1/90]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9/28/90, Notices 7/11/90, 7/25/90, 8/8/90—published 10/17/90, effective 12/1/90]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11/16/90, Notices 9/19/90,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 3/20/91—published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7/17/92, Notices 5/27/92—published 8/5/92, effective 10/1/92]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8/14/92—published 9/2/92, effective 9/1/92]</w:t>
      </w:r>
    </w:p>
    <w:p>
      <w:pPr>
        <w:spacing w:before="0" w:after="0"/>
        <w:ind w:left="120"/>
        <w:jc w:val="center"/>
      </w:pPr>
      <w:r>
        <w:rPr>
          <w:rFonts w:ascii="Times New Roman" w:hAnsi="Times New Roman"/>
          <w:b w:val="false"/>
          <w:i w:val="false"/>
          <w:color w:val="000000"/>
          <w:sz w:val="21"/>
        </w:rPr>
        <w:t>[Filed 8/14/92, Notices 6/24/92, 7/8/92, 8/5/92—published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Notices 7/8/92, 8/5/92—published 9/30/92, effective 12/1/92]</w:t>
      </w:r>
    </w:p>
    <w:p>
      <w:pPr>
        <w:spacing w:before="0" w:after="0"/>
        <w:ind w:left="120"/>
        <w:jc w:val="center"/>
      </w:pPr>
      <w:r>
        <w:rPr>
          <w:rFonts w:ascii="Times New Roman" w:hAnsi="Times New Roman"/>
          <w:b w:val="false"/>
          <w:i w:val="false"/>
          <w:color w:val="000000"/>
          <w:sz w:val="21"/>
        </w:rPr>
        <w:t>[Filed 9/11/92, Notice 8/5/92—published 9/30/92, effective 1/1/93]</w:t>
      </w:r>
    </w:p>
    <w:p>
      <w:pPr>
        <w:spacing w:before="0" w:after="0"/>
        <w:ind w:left="120"/>
        <w:jc w:val="center"/>
      </w:pPr>
      <w:r>
        <w:rPr>
          <w:rFonts w:ascii="Times New Roman" w:hAnsi="Times New Roman"/>
          <w:b w:val="false"/>
          <w:i w:val="false"/>
          <w:color w:val="000000"/>
          <w:sz w:val="21"/>
        </w:rPr>
        <w:t>[Filed 10/15/92, Notices 8/19/92, 9/2/92—published 11/11/92, effective 1/1/93]</w:t>
      </w:r>
    </w:p>
    <w:p>
      <w:pPr>
        <w:spacing w:before="0" w:after="0"/>
        <w:ind w:left="120"/>
        <w:jc w:val="center"/>
      </w:pPr>
      <w:r>
        <w:rPr>
          <w:rFonts w:ascii="Times New Roman" w:hAnsi="Times New Roman"/>
          <w:b w:val="false"/>
          <w:i w:val="false"/>
          <w:color w:val="000000"/>
          <w:sz w:val="21"/>
        </w:rPr>
        <w:t>[Filed emergency 11/10/92—published 12/9/92, effective 11/10/92]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Notices 10/28/92, 11/25/92—published 2/3/93, effective 4/1/93]</w:t>
      </w:r>
    </w:p>
    <w:p>
      <w:pPr>
        <w:spacing w:before="0" w:after="0"/>
        <w:ind w:left="120"/>
        <w:jc w:val="center"/>
      </w:pPr>
      <w:r>
        <w:rPr>
          <w:rFonts w:ascii="Times New Roman" w:hAnsi="Times New Roman"/>
          <w:b w:val="false"/>
          <w:i w:val="false"/>
          <w:color w:val="000000"/>
          <w:sz w:val="21"/>
        </w:rPr>
        <w:t>[Filed emergency 4/15/93 after Notice 3/3/93—published 5/12/93, effective 5/1/93]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emergency 7/14/93—published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9/17/93, Notice 8/4/93—published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emergency 12/16/93 after Notice 10/13/93—published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emergency 2/10/94 after Notice 12/22/93—published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6/22/94—published 8/31/94, effective 11/1/94]</w:t>
      </w:r>
    </w:p>
    <w:p>
      <w:pPr>
        <w:spacing w:before="0" w:after="0"/>
        <w:ind w:left="120"/>
        <w:jc w:val="center"/>
      </w:pPr>
      <w:r>
        <w:rPr>
          <w:rFonts w:ascii="Times New Roman" w:hAnsi="Times New Roman"/>
          <w:b w:val="false"/>
          <w:i w:val="false"/>
          <w:color w:val="000000"/>
          <w:sz w:val="21"/>
        </w:rPr>
        <w:t>[Filed 9/15/94, Notices 7/6/94, 8/3/94—published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3/5/95]</w:t>
      </w:r>
    </w:p>
    <w:p>
      <w:pPr>
        <w:spacing w:before="0" w:after="0"/>
        <w:ind w:left="120"/>
        <w:jc w:val="center"/>
      </w:pPr>
      <w:r>
        <w:rPr>
          <w:rFonts w:ascii="Times New Roman" w:hAnsi="Times New Roman"/>
          <w:b w:val="false"/>
          <w:i w:val="false"/>
          <w:color w:val="000000"/>
          <w:sz w:val="21"/>
        </w:rPr>
        <w:t>[Filed 5/11/95, Notices 3/29/95—published 6/7/95, effective 8/1/95]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6/14/95, Notice 5/10/95—published 7/5/95, effective 9/1/95]</w:t>
      </w:r>
    </w:p>
    <w:p>
      <w:pPr>
        <w:spacing w:before="0" w:after="0"/>
        <w:ind w:left="120"/>
        <w:jc w:val="center"/>
      </w:pPr>
      <w:r>
        <w:rPr>
          <w:rFonts w:ascii="Times New Roman" w:hAnsi="Times New Roman"/>
          <w:b w:val="false"/>
          <w:i w:val="false"/>
          <w:color w:val="000000"/>
          <w:sz w:val="21"/>
        </w:rPr>
        <w:t>[Filed 10/12/95, Notice 8/30/95—published 11/8/95, effective 1/1/96]</w:t>
      </w:r>
    </w:p>
    <w:p>
      <w:pPr>
        <w:spacing w:before="0" w:after="0"/>
        <w:ind w:left="120"/>
        <w:jc w:val="center"/>
      </w:pPr>
      <w:r>
        <w:rPr>
          <w:rFonts w:ascii="Times New Roman" w:hAnsi="Times New Roman"/>
          <w:b w:val="false"/>
          <w:i w:val="false"/>
          <w:color w:val="000000"/>
          <w:sz w:val="21"/>
        </w:rPr>
        <w:t>[Filed 11/16/95, Notices 8/2/95, 9/27/95</w:t>
      </w:r>
      <w:r>
        <w:rPr>
          <w:rFonts w:ascii="Times New Roman" w:hAnsi="Times New Roman"/>
          <w:b w:val="false"/>
          <w:i w:val="false"/>
          <w:color w:val="000000"/>
          <w:sz w:val="14"/>
        </w:rPr>
        <w:t>◊</w:t>
      </w:r>
      <w:r>
        <w:rPr>
          <w:rFonts w:ascii="Times New Roman" w:hAnsi="Times New Roman"/>
          <w:b w:val="false"/>
          <w:i w:val="false"/>
          <w:color w:val="000000"/>
          <w:sz w:val="21"/>
        </w:rPr>
        <w:t>—published 12/6/95, effective 2/1/96]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1/15/97, Notice 12/4/96—published 2/12/97, effective 4/1/97]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7/9/97, Notice 5/21/97—published 7/30/97,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 11/19/97—published 2/11/98, effective 4/1/98]</w:t>
      </w:r>
    </w:p>
    <w:p>
      <w:pPr>
        <w:spacing w:before="0" w:after="0"/>
        <w:ind w:left="120"/>
        <w:jc w:val="center"/>
      </w:pPr>
      <w:r>
        <w:rPr>
          <w:rFonts w:ascii="Times New Roman" w:hAnsi="Times New Roman"/>
          <w:b w:val="false"/>
          <w:i w:val="false"/>
          <w:color w:val="000000"/>
          <w:sz w:val="21"/>
        </w:rPr>
        <w:t>[Filed 4/8/98, Notices 2/11/98, 2/25/98—published 5/6/98, effective 7/1/98]</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12/9/98, Notice 10/7/98—published 12/30/98, effective 3/1/99]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3/10/99, Notice 1/27/99—published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10/13/99, Notice 6/30/99—published 11/3/99, effective 1/1/00]</w:t>
      </w:r>
    </w:p>
    <w:p>
      <w:pPr>
        <w:spacing w:before="0" w:after="0"/>
        <w:ind w:left="120"/>
        <w:jc w:val="center"/>
      </w:pPr>
      <w:r>
        <w:rPr>
          <w:rFonts w:ascii="Times New Roman" w:hAnsi="Times New Roman"/>
          <w:b w:val="false"/>
          <w:i w:val="false"/>
          <w:color w:val="000000"/>
          <w:sz w:val="21"/>
        </w:rPr>
        <w:t>[Filed 4/12/00, Notice 2/23/00—published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6/8/00, Notices 1/26/00, 4/19/00—published 6/28/00, effective 9/1/00]</w:t>
      </w:r>
    </w:p>
    <w:p>
      <w:pPr>
        <w:spacing w:before="0" w:after="0"/>
        <w:ind w:left="120"/>
        <w:jc w:val="center"/>
      </w:pPr>
      <w:r>
        <w:rPr>
          <w:rFonts w:ascii="Times New Roman" w:hAnsi="Times New Roman"/>
          <w:b w:val="false"/>
          <w:i w:val="false"/>
          <w:color w:val="000000"/>
          <w:sz w:val="21"/>
        </w:rPr>
        <w:t>[Filed 8/9/00, Notices 6/14/00, 6/28/00—published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4/19/00—published 11/1/00, effective 1/1/01]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3/21/01—published 5/30/01, effective 7/4/01]</w:t>
      </w:r>
    </w:p>
    <w:p>
      <w:pPr>
        <w:spacing w:before="0" w:after="0"/>
        <w:ind w:left="120"/>
        <w:jc w:val="center"/>
      </w:pPr>
      <w:r>
        <w:rPr>
          <w:rFonts w:ascii="Times New Roman" w:hAnsi="Times New Roman"/>
          <w:b w:val="false"/>
          <w:i w:val="false"/>
          <w:color w:val="000000"/>
          <w:sz w:val="21"/>
        </w:rPr>
        <w:t>[Filed 5/9/01, Notices 1/24/01, 3/7/01—published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11/14/01, Notices 9/19/01, 10/3/01—published 12/12/01, effective 2/1/02]</w:t>
      </w:r>
    </w:p>
    <w:p>
      <w:pPr>
        <w:spacing w:before="0" w:after="0"/>
        <w:ind w:left="120"/>
        <w:jc w:val="center"/>
      </w:pPr>
      <w:r>
        <w:rPr>
          <w:rFonts w:ascii="Times New Roman" w:hAnsi="Times New Roman"/>
          <w:b w:val="false"/>
          <w:i w:val="false"/>
          <w:color w:val="000000"/>
          <w:sz w:val="21"/>
        </w:rPr>
        <w:t>[Filed emergency 12/12/01 after Notice 10/17/01—published 1/9/02, effective 12/12/01]</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2/14/02—published 3/6/02, effective 3/1/02]</w:t>
      </w:r>
    </w:p>
    <w:p>
      <w:pPr>
        <w:spacing w:before="0" w:after="0"/>
        <w:ind w:left="120"/>
        <w:jc w:val="center"/>
      </w:pPr>
      <w:r>
        <w:rPr>
          <w:rFonts w:ascii="Times New Roman" w:hAnsi="Times New Roman"/>
          <w:b w:val="false"/>
          <w:i w:val="false"/>
          <w:color w:val="000000"/>
          <w:sz w:val="21"/>
        </w:rPr>
        <w:t>[Filed 3/13/02, Notice 1/9/02—published 4/3/02, effective 6/1/02]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3/6/02—published 5/1/02, effective 7/1/02]</w:t>
      </w:r>
    </w:p>
    <w:p>
      <w:pPr>
        <w:spacing w:before="0" w:after="0"/>
        <w:ind w:left="120"/>
        <w:jc w:val="center"/>
      </w:pPr>
      <w:r>
        <w:rPr>
          <w:rFonts w:ascii="Times New Roman" w:hAnsi="Times New Roman"/>
          <w:b w:val="false"/>
          <w:i w:val="false"/>
          <w:color w:val="000000"/>
          <w:sz w:val="21"/>
        </w:rPr>
        <w:t>[Filed emergency 7/11/02—published 8/7/02, effective 7/11/02]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8/15/02—published 9/4/02, effective 9/1/02]</w:t>
      </w:r>
    </w:p>
    <w:p>
      <w:pPr>
        <w:spacing w:before="0" w:after="0"/>
        <w:ind w:left="120"/>
        <w:jc w:val="center"/>
      </w:pPr>
      <w:r>
        <w:rPr>
          <w:rFonts w:ascii="Times New Roman" w:hAnsi="Times New Roman"/>
          <w:b w:val="false"/>
          <w:i w:val="false"/>
          <w:color w:val="000000"/>
          <w:sz w:val="21"/>
        </w:rPr>
        <w:t>[Filed 9/12/02, Notice 8/7/02—published 10/2/02, effective 12/1/02]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11/18/02, Notice 9/4/02—published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12/12/02, Notice 10/30/02—published 1/8/03, effective 3/1/03]</w:t>
      </w:r>
    </w:p>
    <w:p>
      <w:pPr>
        <w:spacing w:before="0" w:after="0"/>
        <w:ind w:left="120"/>
        <w:jc w:val="center"/>
      </w:pPr>
      <w:r>
        <w:rPr>
          <w:rFonts w:ascii="Times New Roman" w:hAnsi="Times New Roman"/>
          <w:b w:val="false"/>
          <w:i w:val="false"/>
          <w:color w:val="000000"/>
          <w:sz w:val="21"/>
        </w:rPr>
        <w:t>[Filed emergency 1/9/03—published 2/5/03, effective 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2/13/03, Notice 11/27/02—published 3/5/03, effective 5/1/03]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1/16/04, Notices 9/17/03, 10/29/03—published 2/4/04, effective 3/10/04]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7/15/05, Notice 5/25/05—published 8/3/05, effective 10/1/05]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10/21/05, Notices 5/11/05 and 7/6/05—published 11/9/05, effective 12/14/05]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5/12/06, Notice 3/15/06—published 6/7/06, effective 8/1/06]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emergency 3/14/07 after Notice 1/17/07—published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emergency 7/12/07 after Notice 5/23/07—published 8/1/07,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without Notice 7/20/07—published 8/15/07, effective 10/1/07]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9/12/07 after Notice 7/18/07—published 10/10/07, effective 10/1/07]</w:t>
      </w:r>
    </w:p>
    <w:p>
      <w:pPr>
        <w:spacing w:before="0" w:after="0"/>
        <w:ind w:left="120"/>
        <w:jc w:val="center"/>
      </w:pPr>
      <w:r>
        <w:rPr>
          <w:rFonts w:ascii="Times New Roman" w:hAnsi="Times New Roman"/>
          <w:b w:val="false"/>
          <w:i w:val="false"/>
          <w:color w:val="000000"/>
          <w:sz w:val="21"/>
        </w:rPr>
        <w:t>[Filed emergency 1/9/08 after Notice 10/10/07—published 1/30/08, effective 2/1/08]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7548B</w:t>
      </w:r>
      <w:r>
        <w:rPr>
          <w:rFonts w:ascii="Times New Roman" w:hAnsi="Times New Roman"/>
          <w:b w:val="false"/>
          <w:i w:val="false"/>
          <w:color w:val="000000"/>
          <w:sz w:val="21"/>
        </w:rPr>
        <w:t xml:space="preserve"> (Notice ARC 7369B,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Emergency After Notice ARC 8008B</w:t>
      </w:r>
      <w:r>
        <w:rPr>
          <w:rFonts w:ascii="Times New Roman" w:hAnsi="Times New Roman"/>
          <w:b w:val="false"/>
          <w:i w:val="false"/>
          <w:color w:val="000000"/>
          <w:sz w:val="21"/>
        </w:rPr>
        <w:t xml:space="preserve"> (Notice ARC 7771B, IAB 5/20/09)</w:t>
      </w:r>
      <w:r>
        <w:rPr>
          <w:rFonts w:ascii="Times New Roman" w:hAnsi="Times New Roman"/>
          <w:b w:val="false"/>
          <w:i w:val="false"/>
          <w:color w:val="000000"/>
          <w:sz w:val="21"/>
        </w:rPr>
        <w:t>, IAB 7/29/09, effective 8/1/09]</w:t>
      </w:r>
    </w:p>
    <w:p>
      <w:pPr>
        <w:spacing w:before="0" w:after="0"/>
        <w:ind w:left="120"/>
        <w:jc w:val="center"/>
      </w:pPr>
      <w:r>
        <w:rPr>
          <w:rFonts w:ascii="Times New Roman" w:hAnsi="Times New Roman"/>
          <w:b w:val="false"/>
          <w:i w:val="false"/>
          <w:color w:val="000000"/>
          <w:sz w:val="21"/>
        </w:rPr>
        <w:t>[Filed ARC 8097B</w:t>
      </w:r>
      <w:r>
        <w:rPr>
          <w:rFonts w:ascii="Times New Roman" w:hAnsi="Times New Roman"/>
          <w:b w:val="false"/>
          <w:i w:val="false"/>
          <w:color w:val="000000"/>
          <w:sz w:val="21"/>
        </w:rPr>
        <w:t xml:space="preserve"> (Notice ARC 7816B, IAB 6/3/09)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ARC 8504B</w:t>
      </w:r>
      <w:r>
        <w:rPr>
          <w:rFonts w:ascii="Times New Roman" w:hAnsi="Times New Roman"/>
          <w:b w:val="false"/>
          <w:i w:val="false"/>
          <w:color w:val="000000"/>
          <w:sz w:val="21"/>
        </w:rPr>
        <w:t xml:space="preserve"> (Notice ARC 8247B, IAB 10/21/09)</w:t>
      </w:r>
      <w:r>
        <w:rPr>
          <w:rFonts w:ascii="Times New Roman" w:hAnsi="Times New Roman"/>
          <w:b w:val="false"/>
          <w:i w:val="false"/>
          <w:color w:val="000000"/>
          <w:sz w:val="21"/>
        </w:rPr>
        <w:t>, IAB 2/10/10, effective 3/22/10]</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After Notice ARC 8714B</w:t>
      </w:r>
      <w:r>
        <w:rPr>
          <w:rFonts w:ascii="Times New Roman" w:hAnsi="Times New Roman"/>
          <w:b w:val="false"/>
          <w:i w:val="false"/>
          <w:color w:val="000000"/>
          <w:sz w:val="21"/>
        </w:rPr>
        <w:t xml:space="preserve"> (Notice ARC 8538B, IAB 2/24/10)</w:t>
      </w:r>
      <w:r>
        <w:rPr>
          <w:rFonts w:ascii="Times New Roman" w:hAnsi="Times New Roman"/>
          <w:b w:val="false"/>
          <w:i w:val="false"/>
          <w:color w:val="000000"/>
          <w:sz w:val="21"/>
        </w:rPr>
        <w:t>, IAB 5/5/10, effective 5/1/10]</w:t>
      </w:r>
    </w:p>
    <w:p>
      <w:pPr>
        <w:spacing w:before="0" w:after="0"/>
        <w:ind w:left="120"/>
        <w:jc w:val="center"/>
      </w:pPr>
      <w:r>
        <w:rPr>
          <w:rFonts w:ascii="Times New Roman" w:hAnsi="Times New Roman"/>
          <w:b w:val="false"/>
          <w:i w:val="false"/>
          <w:color w:val="000000"/>
          <w:sz w:val="21"/>
        </w:rPr>
        <w:t>[Filed ARC 8993B</w:t>
      </w:r>
      <w:r>
        <w:rPr>
          <w:rFonts w:ascii="Times New Roman" w:hAnsi="Times New Roman"/>
          <w:b w:val="false"/>
          <w:i w:val="false"/>
          <w:color w:val="000000"/>
          <w:sz w:val="21"/>
        </w:rPr>
        <w:t xml:space="preserve"> (Notice ARC 8722B, IAB 5/5/10)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9045B</w:t>
      </w:r>
      <w:r>
        <w:rPr>
          <w:rFonts w:ascii="Times New Roman" w:hAnsi="Times New Roman"/>
          <w:b w:val="false"/>
          <w:i w:val="false"/>
          <w:color w:val="000000"/>
          <w:sz w:val="21"/>
        </w:rPr>
        <w:t xml:space="preserve"> (Notice ARC 8832B, IAB 6/2/10)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9175B</w:t>
      </w:r>
      <w:r>
        <w:rPr>
          <w:rFonts w:ascii="Times New Roman" w:hAnsi="Times New Roman"/>
          <w:b w:val="false"/>
          <w:i w:val="false"/>
          <w:color w:val="000000"/>
          <w:sz w:val="21"/>
        </w:rPr>
        <w:t xml:space="preserve"> (Notice ARC 8975B, IAB 7/28/10)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Emergency ARC 9256B, IAB 12/1/10, effective 1/1/11]</w:t>
      </w:r>
    </w:p>
    <w:p>
      <w:pPr>
        <w:spacing w:before="0" w:after="0"/>
        <w:ind w:left="120"/>
        <w:jc w:val="center"/>
      </w:pPr>
      <w:r>
        <w:rPr>
          <w:rFonts w:ascii="Times New Roman" w:hAnsi="Times New Roman"/>
          <w:b w:val="false"/>
          <w:i w:val="false"/>
          <w:color w:val="000000"/>
          <w:sz w:val="21"/>
        </w:rPr>
        <w:t>[Filed Emergency ARC 9311B, IAB 12/29/10, effective 1/1/11]</w:t>
      </w:r>
      <w:r>
        <w:br/>
      </w:r>
      <w:r>
        <w:rPr>
          <w:rFonts w:ascii="Times New Roman" w:hAnsi="Times New Roman"/>
          <w:b w:val="false"/>
          <w:i w:val="false"/>
          <w:color w:val="000000"/>
          <w:sz w:val="21"/>
        </w:rPr>
        <w:t>[Filed ARC 9315B</w:t>
      </w:r>
      <w:r>
        <w:rPr>
          <w:rFonts w:ascii="Times New Roman" w:hAnsi="Times New Roman"/>
          <w:b w:val="false"/>
          <w:i w:val="false"/>
          <w:color w:val="000000"/>
          <w:sz w:val="21"/>
        </w:rPr>
        <w:t xml:space="preserve"> (Notice ARC 9111B, IAB 10/6/10)</w:t>
      </w:r>
      <w:r>
        <w:rPr>
          <w:rFonts w:ascii="Times New Roman" w:hAnsi="Times New Roman"/>
          <w:b w:val="false"/>
          <w:i w:val="false"/>
          <w:color w:val="000000"/>
          <w:sz w:val="21"/>
        </w:rPr>
        <w:t>, IAB 12/29/10, effective 2/2/11]</w:t>
      </w:r>
      <w:r>
        <w:br/>
      </w: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r>
        <w:br/>
      </w:r>
      <w:r>
        <w:rPr>
          <w:rFonts w:ascii="Times New Roman" w:hAnsi="Times New Roman"/>
          <w:b w:val="false"/>
          <w:i w:val="false"/>
          <w:color w:val="000000"/>
          <w:sz w:val="21"/>
        </w:rPr>
        <w:t>[Filed ARC 9650B</w:t>
      </w:r>
      <w:r>
        <w:rPr>
          <w:rFonts w:ascii="Times New Roman" w:hAnsi="Times New Roman"/>
          <w:b w:val="false"/>
          <w:i w:val="false"/>
          <w:color w:val="000000"/>
          <w:sz w:val="21"/>
        </w:rPr>
        <w:t xml:space="preserve"> (Notice ARC 9497B,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Emergency ARC 9699B, IAB 9/7/11, effective 9/1/11]</w:t>
      </w:r>
      <w:r>
        <w:br/>
      </w:r>
      <w:r>
        <w:rPr>
          <w:rFonts w:ascii="Times New Roman" w:hAnsi="Times New Roman"/>
          <w:b w:val="false"/>
          <w:i w:val="false"/>
          <w:color w:val="000000"/>
          <w:sz w:val="21"/>
        </w:rPr>
        <w:t>[Filed Emergency ARC 9702B, IAB 9/7/11, effective 9/1/11]</w:t>
      </w:r>
      <w:r>
        <w:br/>
      </w:r>
      <w:r>
        <w:rPr>
          <w:rFonts w:ascii="Times New Roman" w:hAnsi="Times New Roman"/>
          <w:b w:val="false"/>
          <w:i w:val="false"/>
          <w:color w:val="000000"/>
          <w:sz w:val="21"/>
        </w:rPr>
        <w:t>[Filed Emergency ARC 9704B, IAB 9/7/11, effective 9/1/11]</w:t>
      </w:r>
    </w:p>
    <w:p>
      <w:pPr>
        <w:spacing w:before="0" w:after="0"/>
        <w:ind w:left="120"/>
        <w:jc w:val="center"/>
      </w:pPr>
      <w:r>
        <w:rPr>
          <w:rFonts w:ascii="Times New Roman" w:hAnsi="Times New Roman"/>
          <w:b w:val="false"/>
          <w:i w:val="false"/>
          <w:color w:val="000000"/>
          <w:sz w:val="21"/>
        </w:rPr>
        <w:t>[Filed Emergency ARC 9834B, IAB 11/2/11, effective 11/1/11]</w:t>
      </w:r>
    </w:p>
    <w:p>
      <w:pPr>
        <w:spacing w:before="0" w:after="0"/>
        <w:ind w:left="120"/>
        <w:jc w:val="center"/>
      </w:pPr>
      <w:r>
        <w:rPr>
          <w:rFonts w:ascii="Times New Roman" w:hAnsi="Times New Roman"/>
          <w:b w:val="false"/>
          <w:i w:val="false"/>
          <w:color w:val="000000"/>
          <w:sz w:val="21"/>
        </w:rPr>
        <w:t>[Filed ARC 9882B</w:t>
      </w:r>
      <w:r>
        <w:rPr>
          <w:rFonts w:ascii="Times New Roman" w:hAnsi="Times New Roman"/>
          <w:b w:val="false"/>
          <w:i w:val="false"/>
          <w:color w:val="000000"/>
          <w:sz w:val="21"/>
        </w:rPr>
        <w:t xml:space="preserve"> (Notice ARC 9700B,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9883B</w:t>
      </w:r>
      <w:r>
        <w:rPr>
          <w:rFonts w:ascii="Times New Roman" w:hAnsi="Times New Roman"/>
          <w:b w:val="false"/>
          <w:i w:val="false"/>
          <w:color w:val="000000"/>
          <w:sz w:val="21"/>
        </w:rPr>
        <w:t xml:space="preserve"> (Notice ARC 9703B,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9981B</w:t>
      </w:r>
      <w:r>
        <w:rPr>
          <w:rFonts w:ascii="Times New Roman" w:hAnsi="Times New Roman"/>
          <w:b w:val="false"/>
          <w:i w:val="false"/>
          <w:color w:val="000000"/>
          <w:sz w:val="21"/>
        </w:rPr>
        <w:t xml:space="preserve"> (Notice ARC 9835B, IAB 11/2/11)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0065C</w:t>
      </w:r>
      <w:r>
        <w:rPr>
          <w:rFonts w:ascii="Times New Roman" w:hAnsi="Times New Roman"/>
          <w:b w:val="false"/>
          <w:i w:val="false"/>
          <w:color w:val="000000"/>
          <w:sz w:val="21"/>
        </w:rPr>
        <w:t xml:space="preserve"> (Notice ARC 9940B, IAB 12/28/11)</w:t>
      </w:r>
      <w:r>
        <w:rPr>
          <w:rFonts w:ascii="Times New Roman" w:hAnsi="Times New Roman"/>
          <w:b w:val="false"/>
          <w:i w:val="false"/>
          <w:color w:val="000000"/>
          <w:sz w:val="21"/>
        </w:rPr>
        <w:t>, IAB 4/4/12, effective 6/1/12]</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0305C</w:t>
      </w:r>
      <w:r>
        <w:rPr>
          <w:rFonts w:ascii="Times New Roman" w:hAnsi="Times New Roman"/>
          <w:b w:val="false"/>
          <w:i w:val="false"/>
          <w:color w:val="000000"/>
          <w:sz w:val="21"/>
        </w:rPr>
        <w:t xml:space="preserve"> (Notice ARC 0144C,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0631C</w:t>
      </w:r>
      <w:r>
        <w:rPr>
          <w:rFonts w:ascii="Times New Roman" w:hAnsi="Times New Roman"/>
          <w:b w:val="false"/>
          <w:i w:val="false"/>
          <w:color w:val="000000"/>
          <w:sz w:val="21"/>
        </w:rPr>
        <w:t xml:space="preserve"> (Notice ARC 0497C, IAB 12/12/12)</w:t>
      </w:r>
      <w:r>
        <w:rPr>
          <w:rFonts w:ascii="Times New Roman" w:hAnsi="Times New Roman"/>
          <w:b w:val="false"/>
          <w:i w:val="false"/>
          <w:color w:val="000000"/>
          <w:sz w:val="21"/>
        </w:rPr>
        <w:t>, IAB 3/6/13, effective 5/1/13]</w:t>
      </w:r>
      <w:r>
        <w:br/>
      </w:r>
      <w:r>
        <w:rPr>
          <w:rFonts w:ascii="Times New Roman" w:hAnsi="Times New Roman"/>
          <w:b w:val="false"/>
          <w:i w:val="false"/>
          <w:color w:val="000000"/>
          <w:sz w:val="21"/>
        </w:rPr>
        <w:t>[Filed ARC 0632C</w:t>
      </w:r>
      <w:r>
        <w:rPr>
          <w:rFonts w:ascii="Times New Roman" w:hAnsi="Times New Roman"/>
          <w:b w:val="false"/>
          <w:i w:val="false"/>
          <w:color w:val="000000"/>
          <w:sz w:val="21"/>
        </w:rPr>
        <w:t xml:space="preserve"> (Notice ARC 0496C,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ARC 0707C</w:t>
      </w:r>
      <w:r>
        <w:rPr>
          <w:rFonts w:ascii="Times New Roman" w:hAnsi="Times New Roman"/>
          <w:b w:val="false"/>
          <w:i w:val="false"/>
          <w:color w:val="000000"/>
          <w:sz w:val="21"/>
        </w:rPr>
        <w:t xml:space="preserve"> (Notice ARC 0567C,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0709C</w:t>
      </w:r>
      <w:r>
        <w:rPr>
          <w:rFonts w:ascii="Times New Roman" w:hAnsi="Times New Roman"/>
          <w:b w:val="false"/>
          <w:i w:val="false"/>
          <w:color w:val="000000"/>
          <w:sz w:val="21"/>
        </w:rPr>
        <w:t xml:space="preserve"> (Notice ARC 0589C,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0844C, IAB 7/24/13, effective 7/1/13]</w:t>
      </w:r>
      <w:r>
        <w:br/>
      </w:r>
      <w:r>
        <w:rPr>
          <w:rFonts w:ascii="Times New Roman" w:hAnsi="Times New Roman"/>
          <w:b w:val="false"/>
          <w:i w:val="false"/>
          <w:color w:val="000000"/>
          <w:sz w:val="21"/>
        </w:rPr>
        <w:t>[Filed Emergency ARC 0846C,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1052C</w:t>
      </w:r>
      <w:r>
        <w:rPr>
          <w:rFonts w:ascii="Times New Roman" w:hAnsi="Times New Roman"/>
          <w:b w:val="false"/>
          <w:i w:val="false"/>
          <w:color w:val="000000"/>
          <w:sz w:val="21"/>
        </w:rPr>
        <w:t xml:space="preserve"> (Notice ARC 0845C,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1054C</w:t>
      </w:r>
      <w:r>
        <w:rPr>
          <w:rFonts w:ascii="Times New Roman" w:hAnsi="Times New Roman"/>
          <w:b w:val="false"/>
          <w:i w:val="false"/>
          <w:color w:val="000000"/>
          <w:sz w:val="21"/>
        </w:rPr>
        <w:t xml:space="preserve"> (Notice ARC 0843C,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1264C</w:t>
      </w:r>
      <w:r>
        <w:rPr>
          <w:rFonts w:ascii="Times New Roman" w:hAnsi="Times New Roman"/>
          <w:b w:val="false"/>
          <w:i w:val="false"/>
          <w:color w:val="000000"/>
          <w:sz w:val="21"/>
        </w:rPr>
        <w:t xml:space="preserve"> (Notice ARC 1161C, IAB 10/30/13)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1297C</w:t>
      </w:r>
      <w:r>
        <w:rPr>
          <w:rFonts w:ascii="Times New Roman" w:hAnsi="Times New Roman"/>
          <w:b w:val="false"/>
          <w:i w:val="false"/>
          <w:color w:val="000000"/>
          <w:sz w:val="21"/>
        </w:rPr>
        <w:t xml:space="preserve"> (Notice ARC 1185C, IAB 11/13/13)</w:t>
      </w:r>
      <w:r>
        <w:rPr>
          <w:rFonts w:ascii="Times New Roman" w:hAnsi="Times New Roman"/>
          <w:b w:val="false"/>
          <w:i w:val="false"/>
          <w:color w:val="000000"/>
          <w:sz w:val="21"/>
        </w:rPr>
        <w:t>, IAB 2/5/14, effective 4/1/14]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p>
    <w:p>
      <w:pPr>
        <w:spacing w:before="0" w:after="0"/>
        <w:ind w:left="120"/>
        <w:jc w:val="center"/>
      </w:pPr>
      <w:r>
        <w:rPr>
          <w:rFonts w:ascii="Times New Roman" w:hAnsi="Times New Roman"/>
          <w:b w:val="false"/>
          <w:i w:val="false"/>
          <w:color w:val="000000"/>
          <w:sz w:val="21"/>
        </w:rPr>
        <w:t>[Filed ARC 1696C</w:t>
      </w:r>
      <w:r>
        <w:rPr>
          <w:rFonts w:ascii="Times New Roman" w:hAnsi="Times New Roman"/>
          <w:b w:val="false"/>
          <w:i w:val="false"/>
          <w:color w:val="000000"/>
          <w:sz w:val="21"/>
        </w:rPr>
        <w:t xml:space="preserve"> (Notice ARC 1620C,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1850C</w:t>
      </w:r>
      <w:r>
        <w:rPr>
          <w:rFonts w:ascii="Times New Roman" w:hAnsi="Times New Roman"/>
          <w:b w:val="false"/>
          <w:i w:val="false"/>
          <w:color w:val="000000"/>
          <w:sz w:val="21"/>
        </w:rPr>
        <w:t xml:space="preserve"> (Notice ARC 1729C, IAB 11/12/14)</w:t>
      </w:r>
      <w:r>
        <w:rPr>
          <w:rFonts w:ascii="Times New Roman" w:hAnsi="Times New Roman"/>
          <w:b w:val="false"/>
          <w:i w:val="false"/>
          <w:color w:val="000000"/>
          <w:sz w:val="21"/>
        </w:rPr>
        <w:t>, IAB 2/4/15, effective 4/1/15]</w:t>
      </w:r>
    </w:p>
    <w:p>
      <w:pPr>
        <w:spacing w:before="0" w:after="0"/>
        <w:ind w:left="120"/>
        <w:jc w:val="center"/>
      </w:pPr>
      <w:r>
        <w:rPr>
          <w:rFonts w:ascii="Times New Roman" w:hAnsi="Times New Roman"/>
          <w:b w:val="false"/>
          <w:i w:val="false"/>
          <w:color w:val="000000"/>
          <w:sz w:val="21"/>
        </w:rPr>
        <w:t>[Filed ARC 1976C</w:t>
      </w:r>
      <w:r>
        <w:rPr>
          <w:rFonts w:ascii="Times New Roman" w:hAnsi="Times New Roman"/>
          <w:b w:val="false"/>
          <w:i w:val="false"/>
          <w:color w:val="000000"/>
          <w:sz w:val="21"/>
        </w:rPr>
        <w:t xml:space="preserve"> (Notice ARC 1901C, IAB 3/4/15)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Emergency After Notice ARC 2050C</w:t>
      </w:r>
      <w:r>
        <w:rPr>
          <w:rFonts w:ascii="Times New Roman" w:hAnsi="Times New Roman"/>
          <w:b w:val="false"/>
          <w:i w:val="false"/>
          <w:color w:val="000000"/>
          <w:sz w:val="21"/>
        </w:rPr>
        <w:t xml:space="preserve"> (Notice ARC 1982C, IAB 4/29/15)</w:t>
      </w:r>
      <w:r>
        <w:rPr>
          <w:rFonts w:ascii="Times New Roman" w:hAnsi="Times New Roman"/>
          <w:b w:val="false"/>
          <w:i w:val="false"/>
          <w:color w:val="000000"/>
          <w:sz w:val="21"/>
        </w:rPr>
        <w:t>, IAB 7/8/15, effective 7/1/15]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2166C</w:t>
      </w:r>
      <w:r>
        <w:rPr>
          <w:rFonts w:ascii="Times New Roman" w:hAnsi="Times New Roman"/>
          <w:b w:val="false"/>
          <w:i w:val="false"/>
          <w:color w:val="000000"/>
          <w:sz w:val="21"/>
        </w:rPr>
        <w:t xml:space="preserve"> (Notice ARC 2096C,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2340C</w:t>
      </w:r>
      <w:r>
        <w:rPr>
          <w:rFonts w:ascii="Times New Roman" w:hAnsi="Times New Roman"/>
          <w:b w:val="false"/>
          <w:i w:val="false"/>
          <w:color w:val="000000"/>
          <w:sz w:val="21"/>
        </w:rPr>
        <w:t xml:space="preserve"> (Notice ARC 2115C, IAB 8/19/15)</w:t>
      </w:r>
      <w:r>
        <w:rPr>
          <w:rFonts w:ascii="Times New Roman" w:hAnsi="Times New Roman"/>
          <w:b w:val="false"/>
          <w:i w:val="false"/>
          <w:color w:val="000000"/>
          <w:sz w:val="21"/>
        </w:rPr>
        <w:t>, IAB 1/6/16, effective 2/10/16]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3005C</w:t>
      </w:r>
      <w:r>
        <w:rPr>
          <w:rFonts w:ascii="Times New Roman" w:hAnsi="Times New Roman"/>
          <w:b w:val="false"/>
          <w:i w:val="false"/>
          <w:color w:val="000000"/>
          <w:sz w:val="21"/>
        </w:rPr>
        <w:t xml:space="preserve"> (Notice ARC 2897C, IAB 1/18/17)</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3552C</w:t>
      </w:r>
      <w:r>
        <w:rPr>
          <w:rFonts w:ascii="Times New Roman" w:hAnsi="Times New Roman"/>
          <w:b w:val="false"/>
          <w:i w:val="false"/>
          <w:color w:val="000000"/>
          <w:sz w:val="21"/>
        </w:rPr>
        <w:t xml:space="preserve"> (Notice ARC 3374C,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3553C</w:t>
      </w:r>
      <w:r>
        <w:rPr>
          <w:rFonts w:ascii="Times New Roman" w:hAnsi="Times New Roman"/>
          <w:b w:val="false"/>
          <w:i w:val="false"/>
          <w:color w:val="000000"/>
          <w:sz w:val="21"/>
        </w:rPr>
        <w:t xml:space="preserve"> (Notice ARC 3419C,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4575C</w:t>
      </w:r>
      <w:r>
        <w:rPr>
          <w:rFonts w:ascii="Times New Roman" w:hAnsi="Times New Roman"/>
          <w:b w:val="false"/>
          <w:i w:val="false"/>
          <w:color w:val="000000"/>
          <w:sz w:val="21"/>
        </w:rPr>
        <w:t xml:space="preserve"> (Notice ARC 4444C,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r>
        <w:br/>
      </w: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r>
        <w:br/>
      </w:r>
      <w:r>
        <w:rPr>
          <w:rFonts w:ascii="Times New Roman" w:hAnsi="Times New Roman"/>
          <w:b w:val="false"/>
          <w:i w:val="false"/>
          <w:color w:val="000000"/>
          <w:sz w:val="21"/>
        </w:rPr>
        <w:t>[Filed ARC 5364C</w:t>
      </w:r>
      <w:r>
        <w:rPr>
          <w:rFonts w:ascii="Times New Roman" w:hAnsi="Times New Roman"/>
          <w:b w:val="false"/>
          <w:i w:val="false"/>
          <w:color w:val="000000"/>
          <w:sz w:val="21"/>
        </w:rPr>
        <w:t xml:space="preserve"> (Notice ARC 5228C,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6222C</w:t>
      </w:r>
      <w:r>
        <w:rPr>
          <w:rFonts w:ascii="Times New Roman" w:hAnsi="Times New Roman"/>
          <w:b w:val="false"/>
          <w:i w:val="false"/>
          <w:color w:val="000000"/>
          <w:sz w:val="21"/>
        </w:rPr>
        <w:t xml:space="preserve"> (Notice ARC 6081C,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6389C</w:t>
      </w:r>
      <w:r>
        <w:rPr>
          <w:rFonts w:ascii="Times New Roman" w:hAnsi="Times New Roman"/>
          <w:b w:val="false"/>
          <w:i w:val="false"/>
          <w:color w:val="000000"/>
          <w:sz w:val="21"/>
        </w:rPr>
        <w:t xml:space="preserve"> (Notice ARC 6313C, IAB 5/4/22)</w:t>
      </w:r>
      <w:r>
        <w:rPr>
          <w:rFonts w:ascii="Times New Roman" w:hAnsi="Times New Roman"/>
          <w:b w:val="false"/>
          <w:i w:val="false"/>
          <w:color w:val="000000"/>
          <w:sz w:val="21"/>
        </w:rPr>
        <w:t>, IAB 6/29/22, effective 9/1/22]</w:t>
      </w:r>
      <w:r>
        <w:br/>
      </w:r>
      <w:r>
        <w:rPr>
          <w:rFonts w:ascii="Times New Roman" w:hAnsi="Times New Roman"/>
          <w:b w:val="false"/>
          <w:i w:val="false"/>
          <w:color w:val="000000"/>
          <w:sz w:val="21"/>
        </w:rPr>
        <w:t>[Filed ARC 6390C</w:t>
      </w:r>
      <w:r>
        <w:rPr>
          <w:rFonts w:ascii="Times New Roman" w:hAnsi="Times New Roman"/>
          <w:b w:val="false"/>
          <w:i w:val="false"/>
          <w:color w:val="000000"/>
          <w:sz w:val="21"/>
        </w:rPr>
        <w:t xml:space="preserve"> (Notice ARC 6286C, IAB 4/6/22)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6624C</w:t>
      </w:r>
      <w:r>
        <w:rPr>
          <w:rFonts w:ascii="Times New Roman" w:hAnsi="Times New Roman"/>
          <w:b w:val="false"/>
          <w:i w:val="false"/>
          <w:color w:val="000000"/>
          <w:sz w:val="21"/>
        </w:rPr>
        <w:t xml:space="preserve"> (Notice ARC 6474C,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8204C</w:t>
      </w:r>
      <w:r>
        <w:rPr>
          <w:rFonts w:ascii="Times New Roman" w:hAnsi="Times New Roman"/>
          <w:b w:val="false"/>
          <w:i w:val="false"/>
          <w:color w:val="000000"/>
          <w:sz w:val="21"/>
        </w:rPr>
        <w:t xml:space="preserve"> (Notice ARC 8084C, IAB 6/26/24)</w:t>
      </w:r>
      <w:r>
        <w:rPr>
          <w:rFonts w:ascii="Times New Roman" w:hAnsi="Times New Roman"/>
          <w:b w:val="false"/>
          <w:i w:val="false"/>
          <w:color w:val="000000"/>
          <w:sz w:val="21"/>
        </w:rPr>
        <w:t>, IAB 8/21/24, effective 9/25/24]</w:t>
      </w:r>
    </w:p>
    <w:p>
      <w:pPr>
        <w:spacing w:before="0" w:after="0"/>
        <w:ind w:left="120"/>
        <w:jc w:val="center"/>
      </w:pPr>
      <w:r>
        <w:rPr>
          <w:rFonts w:ascii="Times New Roman" w:hAnsi="Times New Roman"/>
          <w:b w:val="false"/>
          <w:i w:val="false"/>
          <w:color w:val="000000"/>
          <w:sz w:val="21"/>
        </w:rPr>
        <w:t>[Filed ARC 8958C</w:t>
      </w:r>
      <w:r>
        <w:rPr>
          <w:rFonts w:ascii="Times New Roman" w:hAnsi="Times New Roman"/>
          <w:b w:val="false"/>
          <w:i w:val="false"/>
          <w:color w:val="000000"/>
          <w:sz w:val="21"/>
        </w:rPr>
        <w:t xml:space="preserve"> (Notice ARC 8575C, IAB 12/25/24)</w:t>
      </w:r>
      <w:r>
        <w:rPr>
          <w:rFonts w:ascii="Times New Roman" w:hAnsi="Times New Roman"/>
          <w:b w:val="false"/>
          <w:i w:val="false"/>
          <w:color w:val="000000"/>
          <w:sz w:val="21"/>
        </w:rPr>
        <w:t>, IAB 2/19/25, effective 4/1/25]</w:t>
      </w:r>
      <w:r>
        <w:br/>
      </w:r>
      <w:r>
        <w:rPr>
          <w:rFonts w:ascii="Times New Roman" w:hAnsi="Times New Roman"/>
          <w:b w:val="false"/>
          <w:i w:val="false"/>
          <w:color w:val="000000"/>
          <w:sz w:val="21"/>
        </w:rPr>
        <w:t>[Filed ARC 8959C</w:t>
      </w:r>
      <w:r>
        <w:rPr>
          <w:rFonts w:ascii="Times New Roman" w:hAnsi="Times New Roman"/>
          <w:b w:val="false"/>
          <w:i w:val="false"/>
          <w:color w:val="000000"/>
          <w:sz w:val="21"/>
        </w:rPr>
        <w:t xml:space="preserve"> (Notice ARC 8570C,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9494C</w:t>
      </w:r>
      <w:r>
        <w:rPr>
          <w:rFonts w:ascii="Times New Roman" w:hAnsi="Times New Roman"/>
          <w:b w:val="false"/>
          <w:i w:val="false"/>
          <w:color w:val="000000"/>
          <w:sz w:val="21"/>
        </w:rPr>
        <w:t xml:space="preserve"> (Notice ARC 9372C, IAB 6/25/25)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[Filed ARC 9615C</w:t>
      </w:r>
      <w:r>
        <w:rPr>
          <w:rFonts w:ascii="Times New Roman" w:hAnsi="Times New Roman"/>
          <w:b w:val="false"/>
          <w:i w:val="false"/>
          <w:color w:val="000000"/>
          <w:sz w:val="21"/>
        </w:rPr>
        <w:t xml:space="preserve"> (Notice ARC 9492C,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0315D</w:t>
      </w:r>
      <w:r>
        <w:rPr>
          <w:rFonts w:ascii="Times New Roman" w:hAnsi="Times New Roman"/>
          <w:b w:val="false"/>
          <w:i w:val="false"/>
          <w:color w:val="000000"/>
          <w:sz w:val="21"/>
        </w:rPr>
        <w:t xml:space="preserve"> (Notice ARC 9865C, IAB 12/24/25)</w:t>
      </w:r>
      <w:r>
        <w:rPr>
          <w:rFonts w:ascii="Times New Roman" w:hAnsi="Times New Roman"/>
          <w:b w:val="false"/>
          <w:i w:val="false"/>
          <w:color w:val="000000"/>
          <w:sz w:val="21"/>
        </w:rPr>
        <w:t>, IAB 5/27/26, effective 7/1/26]</w:t>
      </w:r>
    </w:p>
    <w:p>
      <w:pPr>
        <w:spacing w:before="0" w:after="0"/>
        <w:ind w:left="120"/>
        <w:jc w:val="center"/>
      </w:pPr>
      <w:r>
        <w:rPr>
          <w:rFonts w:ascii="Times New Roman" w:hAnsi="Times New Roman"/>
          <w:b w:val="false"/>
          <w:i w:val="false"/>
          <w:color w:val="000000"/>
          <w:sz w:val="21"/>
        </w:rPr>
        <w:t>[Editorial change: IAC Supplement 9/2/26]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383">
        <w:r>
          <w:rPr>
            <w:rStyle w:val="Hyperlink"/>
            <w:rFonts w:ascii="Times New Roman" w:hAnsi="Times New Roman"/>
            <w:b w:val="false"/>
            <w:i w:val="false"/>
            <w:color w:val="000000"/>
            <w:sz w:val="22"/>
          </w:rPr>
          <w:t>78.3</w:t>
        </w:r>
      </w:hyperlink>
      <w:r>
        <w:rPr>
          <w:rFonts w:ascii="Times New Roman" w:hAnsi="Times New Roman"/>
          <w:b w:val="false"/>
          <w:i w:val="false"/>
          <w:color w:val="000000"/>
          <w:sz w:val="22"/>
        </w:rPr>
        <w:t xml:space="preserve"> and </w:t>
      </w:r>
      <w:hyperlink r:id="rId384">
        <w:r>
          <w:rPr>
            <w:rStyle w:val="Hyperlink"/>
            <w:rFonts w:ascii="Times New Roman" w:hAnsi="Times New Roman"/>
            <w:b w:val="false"/>
            <w:i w:val="false"/>
            <w:color w:val="000000"/>
            <w:sz w:val="22"/>
          </w:rPr>
          <w:t>78.31</w:t>
        </w:r>
      </w:hyperlink>
      <w:r>
        <w:rPr>
          <w:rFonts w:ascii="Times New Roman" w:hAnsi="Times New Roman"/>
          <w:b w:val="false"/>
          <w:i w:val="false"/>
          <w:color w:val="000000"/>
          <w:sz w:val="22"/>
        </w:rPr>
        <w:t xml:space="preserve"> delayed 70 days by the Administrative Rules Review Committee at its January 1,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w:t>
      </w:r>
    </w:p>
    <w:p>
      <w:pPr>
        <w:pBdr>
          <w:bottom w:space="2"/>
        </w:pBdr>
        <w:spacing w:before="0" w:after="0"/>
        <w:ind w:left="120"/>
        <w:jc w:val="both"/>
      </w:pPr>
      <w:r>
        <w:rPr>
          <w:rFonts w:ascii="Times New Roman" w:hAnsi="Times New Roman"/>
          <w:b w:val="false"/>
          <w:i w:val="false"/>
          <w:color w:val="000000"/>
          <w:sz w:val="22"/>
        </w:rPr>
        <w:t>Effective date of 4/1/91 delayed until adjournment of the 1991 session of the General Assembly by the Administrative Rules Review Committee at its meeting held February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12/15/02 delayed 70 days by the Administrative Rules Review Committee at its December 10, 2002, meeting.</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385">
        <w:r>
          <w:rPr>
            <w:rStyle w:val="Hyperlink"/>
            <w:rFonts w:ascii="Times New Roman" w:hAnsi="Times New Roman"/>
            <w:b w:val="false"/>
            <w:i w:val="false"/>
            <w:color w:val="000000"/>
            <w:sz w:val="22"/>
          </w:rPr>
          <w:t>78.27(2)</w:t>
        </w:r>
      </w:hyperlink>
      <w:r>
        <w:rPr>
          <w:rFonts w:ascii="Times New Roman" w:hAnsi="Times New Roman"/>
          <w:b w:val="false"/>
          <w:i w:val="false"/>
          <w:color w:val="000000"/>
          <w:sz w:val="22"/>
        </w:rPr>
        <w:t>“d”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May 11, 2011, effective date of </w:t>
      </w:r>
      <w:hyperlink r:id="rId386">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 xml:space="preserve">“d,” 78.38(5)“h,” 78.41(2)“g,” 78.43(3)“d,” and </w:t>
      </w:r>
      <w:hyperlink r:id="rId387">
        <w:r>
          <w:rPr>
            <w:rStyle w:val="Hyperlink"/>
            <w:rFonts w:ascii="Times New Roman" w:hAnsi="Times New Roman"/>
            <w:b w:val="false"/>
            <w:i w:val="false"/>
            <w:color w:val="000000"/>
            <w:sz w:val="22"/>
          </w:rPr>
          <w:t>78.52(5)</w:t>
        </w:r>
      </w:hyperlink>
      <w:r>
        <w:rPr>
          <w:rFonts w:ascii="Times New Roman" w:hAnsi="Times New Roman"/>
          <w:b w:val="false"/>
          <w:i w:val="false"/>
          <w:color w:val="000000"/>
          <w:sz w:val="22"/>
        </w:rPr>
        <w:t>“a” delayed 70 days by the Administrative Rules Review Committee at its meeting held April 11, 2011.</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 except with respect to amendments to 78.2(6). Effective date of amendments to 78.2(6) remains delayed until the adjournment of the 2021 session of the General Assembly.</w:t>
      </w:r>
    </w:p>
    <w:sectPr>
      <w:footerReference r:id="rId38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8.2.pdf" Type="http://schemas.openxmlformats.org/officeDocument/2006/relationships/hyperlink" Id="rId5"/>
    <Relationship TargetMode="External" Target="https://www.legis.iowa.gov/docs/iac/rule/441.78.15.pdf" Type="http://schemas.openxmlformats.org/officeDocument/2006/relationships/hyperlink" Id="rId6"/>
    <Relationship TargetMode="External" Target="https://www.legis.iowa.gov/docs/iac/rule/441.78.2.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co/chapter/155A.27.pdf" Type="http://schemas.openxmlformats.org/officeDocument/2006/relationships/hyperlink" Id="rId10"/>
    <Relationship TargetMode="External" Target="https://www.legis.iowa.gov/docs/ico/chapter/249A.14.pdf" Type="http://schemas.openxmlformats.org/officeDocument/2006/relationships/hyperlink" Id="rId11"/>
    <Relationship TargetMode="External" Target="https://www.legis.iowa.gov/docs/iac/rule/441.78.10.pdf" Type="http://schemas.openxmlformats.org/officeDocument/2006/relationships/hyperlink" Id="rId12"/>
    <Relationship TargetMode="External" Target="https://www.legis.iowa.gov/docs/iac/rule/441.78.15.pdf" Type="http://schemas.openxmlformats.org/officeDocument/2006/relationships/hyperlink" Id="rId13"/>
    <Relationship TargetMode="External" Target="https://www.legis.iowa.gov/docs/iac/chapter/481.621.pdf" Type="http://schemas.openxmlformats.org/officeDocument/2006/relationships/hyperlink" Id="rId14"/>
    <Relationship TargetMode="External" Target="https://www.legis.iowa.gov/docs/iac/rule/441.78.1.pdf" Type="http://schemas.openxmlformats.org/officeDocument/2006/relationships/hyperlink" Id="rId15"/>
    <Relationship TargetMode="External" Target="https://www.legis.iowa.gov/docs/iac/chapter/481.780.pdf" Type="http://schemas.openxmlformats.org/officeDocument/2006/relationships/hyperlink" Id="rId16"/>
    <Relationship TargetMode="External" Target="https://www.legis.iowa.gov/docs/iac/chapter/481.784.pdf" Type="http://schemas.openxmlformats.org/officeDocument/2006/relationships/hyperlink" Id="rId17"/>
    <Relationship TargetMode="External" Target="https://www.legis.iowa.gov/docs/ico/chapter/148C.pdf" Type="http://schemas.openxmlformats.org/officeDocument/2006/relationships/hyperlink" Id="rId18"/>
    <Relationship TargetMode="External" Target="https://www.legis.iowa.gov/docs/iac/chapter/481.780.pdf" Type="http://schemas.openxmlformats.org/officeDocument/2006/relationships/hyperlink" Id="rId19"/>
    <Relationship TargetMode="External" Target="https://www.legis.iowa.gov/docs/iac/chapter/481.784.pdf" Type="http://schemas.openxmlformats.org/officeDocument/2006/relationships/hyperlink" Id="rId20"/>
    <Relationship TargetMode="External" Target="https://www.legis.iowa.gov/docs/iac/rule/481.781.1.pdf" Type="http://schemas.openxmlformats.org/officeDocument/2006/relationships/hyperlink" Id="rId21"/>
    <Relationship TargetMode="External" Target="https://www.legis.iowa.gov/docs/iac/rule/441.78.1.pdf" Type="http://schemas.openxmlformats.org/officeDocument/2006/relationships/hyperlink" Id="rId22"/>
    <Relationship TargetMode="External" Target="https://www.legis.iowa.gov/docs/iac/chapter/481.780.pdf" Type="http://schemas.openxmlformats.org/officeDocument/2006/relationships/hyperlink" Id="rId23"/>
    <Relationship TargetMode="External" Target="https://www.legis.iowa.gov/docs/iac/chapter/481.784.pdf" Type="http://schemas.openxmlformats.org/officeDocument/2006/relationships/hyperlink" Id="rId24"/>
    <Relationship TargetMode="External" Target="https://www.legis.iowa.gov/docs/iac/rule/441.78.1.pdf" Type="http://schemas.openxmlformats.org/officeDocument/2006/relationships/hyperlink" Id="rId25"/>
    <Relationship TargetMode="External" Target="https://www.legis.iowa.gov/docs/iac/rule/441.78.1.pdf" Type="http://schemas.openxmlformats.org/officeDocument/2006/relationships/hyperlink" Id="rId26"/>
    <Relationship TargetMode="External" Target="https://www.legis.iowa.gov/docs/iac/rule/441.78.1.pdf" Type="http://schemas.openxmlformats.org/officeDocument/2006/relationships/hyperlink" Id="rId27"/>
    <Relationship TargetMode="External" Target="https://www.legis.iowa.gov/docs/iac/rule/441.78.6.pdf" Type="http://schemas.openxmlformats.org/officeDocument/2006/relationships/hyperlink" Id="rId28"/>
    <Relationship TargetMode="External" Target="https://www.legis.iowa.gov/docs/iac/rule/441.78.3.pdf" Type="http://schemas.openxmlformats.org/officeDocument/2006/relationships/hyperlink" Id="rId29"/>
    <Relationship TargetMode="External" Target="https://www.legis.iowa.gov/docs/iac/rule/441.78.3.pdf" Type="http://schemas.openxmlformats.org/officeDocument/2006/relationships/hyperlink" Id="rId30"/>
    <Relationship TargetMode="External" Target="https://www.legis.iowa.gov/docs/iac/rule/441.78.3.pdf" Type="http://schemas.openxmlformats.org/officeDocument/2006/relationships/hyperlink" Id="rId31"/>
    <Relationship TargetMode="External" Target="https://www.legis.iowa.gov/docs/iac/rule/441.78.1.pdf" Type="http://schemas.openxmlformats.org/officeDocument/2006/relationships/hyperlink" Id="rId32"/>
    <Relationship TargetMode="External" Target="https://www.legis.iowa.gov/docs/iac/rule/441.78.3.pdf" Type="http://schemas.openxmlformats.org/officeDocument/2006/relationships/hyperlink" Id="rId33"/>
    <Relationship TargetMode="External" Target="https://www.legis.iowa.gov/docs/iac/rule/441.78.1.pdf" Type="http://schemas.openxmlformats.org/officeDocument/2006/relationships/hyperlink" Id="rId34"/>
    <Relationship TargetMode="External" Target="https://www.legis.iowa.gov/docs/iac/rule/441.78.25.pdf" Type="http://schemas.openxmlformats.org/officeDocument/2006/relationships/hyperlink" Id="rId35"/>
    <Relationship TargetMode="External" Target="https://www.legis.iowa.gov/docs/iac/rule/441.78.28.pdf" Type="http://schemas.openxmlformats.org/officeDocument/2006/relationships/hyperlink" Id="rId36"/>
    <Relationship TargetMode="External" Target="https://www.legis.iowa.gov/docs/ico/chapter/155A.3.pdf" Type="http://schemas.openxmlformats.org/officeDocument/2006/relationships/hyperlink" Id="rId37"/>
    <Relationship TargetMode="External" Target="https://www.legis.iowa.gov/docs/ico/chapter/124.308.pdf" Type="http://schemas.openxmlformats.org/officeDocument/2006/relationships/hyperlink" Id="rId38"/>
    <Relationship TargetMode="External" Target="https://www.legis.iowa.gov/docs/ico/chapter/155A.3.pdf" Type="http://schemas.openxmlformats.org/officeDocument/2006/relationships/hyperlink" Id="rId39"/>
    <Relationship TargetMode="External" Target="https://www.legis.iowa.gov/docs/ico/chapter/155A.27.pdf" Type="http://schemas.openxmlformats.org/officeDocument/2006/relationships/hyperlink" Id="rId40"/>
    <Relationship TargetMode="External" Target="https://www.legis.iowa.gov/docs/ico/chapter/249A.20A.pdf" Type="http://schemas.openxmlformats.org/officeDocument/2006/relationships/hyperlink" Id="rId41"/>
    <Relationship TargetMode="External" Target="https://www.legis.iowa.gov/docs/iac/rule/441.78.28.pdf" Type="http://schemas.openxmlformats.org/officeDocument/2006/relationships/hyperlink" Id="rId42"/>
    <Relationship TargetMode="External" Target="https://www.legis.iowa.gov/docs/iac/rule/441.78.2.pdf" Type="http://schemas.openxmlformats.org/officeDocument/2006/relationships/hyperlink" Id="rId43"/>
    <Relationship TargetMode="External" Target="https://www.legis.iowa.gov/docs/ico/chapter/249A.20A.pdf" Type="http://schemas.openxmlformats.org/officeDocument/2006/relationships/hyperlink" Id="rId44"/>
    <Relationship TargetMode="External" Target="http://www.iowamedicaidpdl.com" Type="http://schemas.openxmlformats.org/officeDocument/2006/relationships/hyperlink" Id="rId45"/>
    <Relationship TargetMode="External" Target="https://www.legis.iowa.gov/docs/iac/rule/441.78.31.pdf" Type="http://schemas.openxmlformats.org/officeDocument/2006/relationships/hyperlink" Id="rId46"/>
    <Relationship TargetMode="External" Target="https://www.legis.iowa.gov/docs/iac/rule/441.79.1.pdf" Type="http://schemas.openxmlformats.org/officeDocument/2006/relationships/hyperlink" Id="rId47"/>
    <Relationship TargetMode="External" Target="https://www.legis.iowa.gov/docs/iac/rule/441.78.2.pdf" Type="http://schemas.openxmlformats.org/officeDocument/2006/relationships/hyperlink" Id="rId48"/>
    <Relationship TargetMode="External" Target="https://www.legis.iowa.gov/docs/iac/rule/441.78.2.pdf" Type="http://schemas.openxmlformats.org/officeDocument/2006/relationships/hyperlink" Id="rId49"/>
    <Relationship TargetMode="External" Target="https://www.legis.iowa.gov/docs/iac/rule/441.78.2.pdf" Type="http://schemas.openxmlformats.org/officeDocument/2006/relationships/hyperlink" Id="rId50"/>
    <Relationship TargetMode="External" Target="https://www.legis.iowa.gov/docs/iac/rule/441.78.2.pdf" Type="http://schemas.openxmlformats.org/officeDocument/2006/relationships/hyperlink" Id="rId51"/>
    <Relationship TargetMode="External" Target="https://www.legis.iowa.gov/docs/iac/rule/441.78.2.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7.25.pdf" Type="http://schemas.openxmlformats.org/officeDocument/2006/relationships/hyperlink" Id="rId55"/>
    <Relationship TargetMode="External" Target="https://www.legis.iowa.gov/docs/iac/rule/441.78.1.pdf" Type="http://schemas.openxmlformats.org/officeDocument/2006/relationships/hyperlink" Id="rId56"/>
    <Relationship TargetMode="External" Target="https://www.legis.iowa.gov/docs/iac/rule/441.78.1.pdf" Type="http://schemas.openxmlformats.org/officeDocument/2006/relationships/hyperlink" Id="rId57"/>
    <Relationship TargetMode="External" Target="https://www.legis.iowa.gov/docs/iac/rule/441.78.1.pdf" Type="http://schemas.openxmlformats.org/officeDocument/2006/relationships/hyperlink" Id="rId58"/>
    <Relationship TargetMode="External" Target="https://www.legis.iowa.gov/docs/iac/rule/441.79.1.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5.pdf" Type="http://schemas.openxmlformats.org/officeDocument/2006/relationships/hyperlink" Id="rId63"/>
    <Relationship TargetMode="External" Target="https://www.legis.iowa.gov/docs/iac/chapter/441.2506.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5.pdf" Type="http://schemas.openxmlformats.org/officeDocument/2006/relationships/hyperlink" Id="rId66"/>
    <Relationship TargetMode="External" Target="https://www.legis.iowa.gov/docs/iac/rule/441.78.3.pdf" Type="http://schemas.openxmlformats.org/officeDocument/2006/relationships/hyperlink" Id="rId67"/>
    <Relationship TargetMode="External" Target="https://www.legis.iowa.gov/docs/iac/rule/441.78.1.pdf" Type="http://schemas.openxmlformats.org/officeDocument/2006/relationships/hyperlink" Id="rId68"/>
    <Relationship TargetMode="External" Target="https://www.legis.iowa.gov/docs/iac/rule/441.78.1.pdf" Type="http://schemas.openxmlformats.org/officeDocument/2006/relationships/hyperlink" Id="rId69"/>
    <Relationship TargetMode="External" Target="https://www.legis.iowa.gov/docs/iac/rule/441.78.26.pdf" Type="http://schemas.openxmlformats.org/officeDocument/2006/relationships/hyperlink" Id="rId70"/>
    <Relationship TargetMode="External" Target="https://www.legis.iowa.gov/docs/iac/rule/441.78.1.pdf" Type="http://schemas.openxmlformats.org/officeDocument/2006/relationships/hyperlink" Id="rId71"/>
    <Relationship TargetMode="External" Target="https://www.legis.iowa.gov/docs/iac/rule/441.78.6.pdf" Type="http://schemas.openxmlformats.org/officeDocument/2006/relationships/hyperlink" Id="rId72"/>
    <Relationship TargetMode="External" Target="https://www.legis.iowa.gov/docs/iac/rule/441.78.8.pdf" Type="http://schemas.openxmlformats.org/officeDocument/2006/relationships/hyperlink" Id="rId73"/>
    <Relationship TargetMode="External" Target="https://www.legis.iowa.gov/docs/iac/rule/441.78.8.pdf" Type="http://schemas.openxmlformats.org/officeDocument/2006/relationships/hyperlink" Id="rId74"/>
    <Relationship TargetMode="External" Target="https://www.legis.iowa.gov/docs/iac/rule/441.78.8.pdf" Type="http://schemas.openxmlformats.org/officeDocument/2006/relationships/hyperlink" Id="rId75"/>
    <Relationship TargetMode="External" Target="https://www.legis.iowa.gov/docs/iac/rule/441.78.9.pdf" Type="http://schemas.openxmlformats.org/officeDocument/2006/relationships/hyperlink" Id="rId76"/>
    <Relationship TargetMode="External" Target="https://www.legis.iowa.gov/docs/iac/rule/441.78.9.pdf" Type="http://schemas.openxmlformats.org/officeDocument/2006/relationships/hyperlink" Id="rId77"/>
    <Relationship TargetMode="External" Target="https://www.legis.iowa.gov/docs/iac/rule/441.78.9.pdf" Type="http://schemas.openxmlformats.org/officeDocument/2006/relationships/hyperlink" Id="rId78"/>
    <Relationship TargetMode="External" Target="https://www.legis.iowa.gov/docs/iac/chapter/441.177.pdf" Type="http://schemas.openxmlformats.org/officeDocument/2006/relationships/hyperlink" Id="rId79"/>
    <Relationship TargetMode="External" Target="https://www.legis.iowa.gov/docs/iac/rule/441.78.9.pdf" Type="http://schemas.openxmlformats.org/officeDocument/2006/relationships/hyperlink" Id="rId80"/>
    <Relationship TargetMode="External" Target="https://www.legis.iowa.gov/docs/iac/rule/441.78.19.pdf" Type="http://schemas.openxmlformats.org/officeDocument/2006/relationships/hyperlink" Id="rId81"/>
    <Relationship TargetMode="External" Target="https://www.legis.iowa.gov/docs/iac/rule/441.78.19.pdf" Type="http://schemas.openxmlformats.org/officeDocument/2006/relationships/hyperlink" Id="rId82"/>
    <Relationship TargetMode="External" Target="https://www.legis.iowa.gov/docs/iac/rule/441.78.19.pdf" Type="http://schemas.openxmlformats.org/officeDocument/2006/relationships/hyperlink" Id="rId83"/>
    <Relationship TargetMode="External" Target="https://www.legis.iowa.gov/docs/iac/rule/441.78.9.pdf" Type="http://schemas.openxmlformats.org/officeDocument/2006/relationships/hyperlink" Id="rId84"/>
    <Relationship TargetMode="External" Target="https://www.legis.iowa.gov/docs/iac/rule/441.78.9.pdf" Type="http://schemas.openxmlformats.org/officeDocument/2006/relationships/hyperlink" Id="rId85"/>
    <Relationship TargetMode="External" Target="https://www.legis.iowa.gov/docs/iac/rule/441.78.10.pdf" Type="http://schemas.openxmlformats.org/officeDocument/2006/relationships/hyperlink" Id="rId86"/>
    <Relationship TargetMode="External" Target="https://www.legis.iowa.gov/docs/iac/rule/441.78.10.pdf" Type="http://schemas.openxmlformats.org/officeDocument/2006/relationships/hyperlink" Id="rId87"/>
    <Relationship TargetMode="External" Target="https://www.legis.iowa.gov/docs/iac/rule/441.78.10.pdf" Type="http://schemas.openxmlformats.org/officeDocument/2006/relationships/hyperlink" Id="rId88"/>
    <Relationship TargetMode="External" Target="https://www.legis.iowa.gov/docs/iac/rule/441.78.28.pdf" Type="http://schemas.openxmlformats.org/officeDocument/2006/relationships/hyperlink" Id="rId89"/>
    <Relationship TargetMode="External" Target="https://www.legis.iowa.gov/docs/iac/rule/441.78.10.pdf" Type="http://schemas.openxmlformats.org/officeDocument/2006/relationships/hyperlink" Id="rId90"/>
    <Relationship TargetMode="External" Target="https://www.legis.iowa.gov/docs/iac/chapter/481.58.pdf" Type="http://schemas.openxmlformats.org/officeDocument/2006/relationships/hyperlink" Id="rId91"/>
    <Relationship TargetMode="External" Target="https://www.legis.iowa.gov/docs/iac/rule/441.78.10.pdf" Type="http://schemas.openxmlformats.org/officeDocument/2006/relationships/hyperlink" Id="rId92"/>
    <Relationship TargetMode="External" Target="https://www.legis.iowa.gov/docs/iac/rule/441.78.10.pdf" Type="http://schemas.openxmlformats.org/officeDocument/2006/relationships/hyperlink" Id="rId93"/>
    <Relationship TargetMode="External" Target="https://www.legis.iowa.gov/docs/iac/rule/441.78.10.pdf" Type="http://schemas.openxmlformats.org/officeDocument/2006/relationships/hyperlink" Id="rId94"/>
    <Relationship TargetMode="External" Target="https://www.legis.iowa.gov/docs/iac/rule/441.78.10.pdf" Type="http://schemas.openxmlformats.org/officeDocument/2006/relationships/hyperlink" Id="rId95"/>
    <Relationship TargetMode="External" Target="https://www.legis.iowa.gov/docs/iac/rule/441.78.10.pdf" Type="http://schemas.openxmlformats.org/officeDocument/2006/relationships/hyperlink" Id="rId96"/>
    <Relationship TargetMode="External" Target="https://www.legis.iowa.gov/docs/iac/rule/441.78.10.pdf" Type="http://schemas.openxmlformats.org/officeDocument/2006/relationships/hyperlink" Id="rId97"/>
    <Relationship TargetMode="External" Target="https://www.legis.iowa.gov/docs/iac/rule/441.78.10.pdf" Type="http://schemas.openxmlformats.org/officeDocument/2006/relationships/hyperlink" Id="rId98"/>
    <Relationship TargetMode="External" Target="https://www.legis.iowa.gov/docs/iac/rule/441.78.10.pdf" Type="http://schemas.openxmlformats.org/officeDocument/2006/relationships/hyperlink" Id="rId99"/>
    <Relationship TargetMode="External" Target="https://www.legis.iowa.gov/docs/iac/rule/441.78.10.pdf" Type="http://schemas.openxmlformats.org/officeDocument/2006/relationships/hyperlink" Id="rId100"/>
    <Relationship TargetMode="External" Target="https://www.legis.iowa.gov/docs/iac/rule/441.78.10.pdf" Type="http://schemas.openxmlformats.org/officeDocument/2006/relationships/hyperlink" Id="rId101"/>
    <Relationship TargetMode="External" Target="https://www.legis.iowa.gov/docs/iac/rule/441.78.14.pdf" Type="http://schemas.openxmlformats.org/officeDocument/2006/relationships/hyperlink" Id="rId102"/>
    <Relationship TargetMode="External" Target="https://www.legis.iowa.gov/docs/iac/rule/441.78.10.pdf" Type="http://schemas.openxmlformats.org/officeDocument/2006/relationships/hyperlink" Id="rId103"/>
    <Relationship TargetMode="External" Target="https://www.legis.iowa.gov/docs/iac/rule/441.78.15.pdf" Type="http://schemas.openxmlformats.org/officeDocument/2006/relationships/hyperlink" Id="rId104"/>
    <Relationship TargetMode="External" Target="https://www.legis.iowa.gov/docs/ico/chapter/249A.20A.pdf" Type="http://schemas.openxmlformats.org/officeDocument/2006/relationships/hyperlink" Id="rId105"/>
    <Relationship TargetMode="External" Target="https://www.legis.iowa.gov/docs/ico/chapter/249A.20A.pdf" Type="http://schemas.openxmlformats.org/officeDocument/2006/relationships/hyperlink" Id="rId106"/>
    <Relationship TargetMode="External" Target="https://www.legis.iowa.gov/docs/iac/rule/441.78.10.pdf" Type="http://schemas.openxmlformats.org/officeDocument/2006/relationships/hyperlink" Id="rId107"/>
    <Relationship TargetMode="External" Target="https://www.legis.iowa.gov/docs/iac/rule/441.78.10.pdf" Type="http://schemas.openxmlformats.org/officeDocument/2006/relationships/hyperlink" Id="rId108"/>
    <Relationship TargetMode="External" Target="https://www.legis.iowa.gov/docs/iac/rule/441.79.9.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co/chapter/514B.1.pdf" Type="http://schemas.openxmlformats.org/officeDocument/2006/relationships/hyperlink" Id="rId111"/>
    <Relationship TargetMode="External" Target="https://www.legis.iowa.gov/docs/iac/rule/441.156.20.pdf" Type="http://schemas.openxmlformats.org/officeDocument/2006/relationships/hyperlink" Id="rId112"/>
    <Relationship TargetMode="External" Target="https://www.legis.iowa.gov/docs/iac/rule/441.78.12.pdf" Type="http://schemas.openxmlformats.org/officeDocument/2006/relationships/hyperlink" Id="rId113"/>
    <Relationship TargetMode="External" Target="https://www.legis.iowa.gov/docs/iac/rule/441.78.12.pdf" Type="http://schemas.openxmlformats.org/officeDocument/2006/relationships/hyperlink" Id="rId114"/>
    <Relationship TargetMode="External" Target="https://www.legis.iowa.gov/docs/iac/rule/441.77.13.pdf" Type="http://schemas.openxmlformats.org/officeDocument/2006/relationships/hyperlink" Id="rId115"/>
    <Relationship TargetMode="External" Target="https://www.legis.iowa.gov/docs/iac/rule/441.78.12.pdf" Type="http://schemas.openxmlformats.org/officeDocument/2006/relationships/hyperlink" Id="rId116"/>
    <Relationship TargetMode="External" Target="https://www.legis.iowa.gov/docs/iac/rule/441.78.12.pdf" Type="http://schemas.openxmlformats.org/officeDocument/2006/relationships/hyperlink" Id="rId117"/>
    <Relationship TargetMode="External" Target="https://www.legis.iowa.gov/docs/iac/rule/441.78.13.pdf" Type="http://schemas.openxmlformats.org/officeDocument/2006/relationships/hyperlink" Id="rId118"/>
    <Relationship TargetMode="External" Target="https://www.legis.iowa.gov/docs/iac/rule/11.41.6.pdf" Type="http://schemas.openxmlformats.org/officeDocument/2006/relationships/hyperlink" Id="rId119"/>
    <Relationship TargetMode="External" Target="https://www.legis.iowa.gov/docs/iac/chapter/441.2506.pdf" Type="http://schemas.openxmlformats.org/officeDocument/2006/relationships/hyperlink" Id="rId120"/>
    <Relationship TargetMode="External" Target="https://www.legis.iowa.gov/docs/iac/chapter/441.2506.pdf" Type="http://schemas.openxmlformats.org/officeDocument/2006/relationships/hyperlink" Id="rId121"/>
    <Relationship TargetMode="External" Target="https://www.legis.iowa.gov/docs/iac/rule/441.78.13.pdf" Type="http://schemas.openxmlformats.org/officeDocument/2006/relationships/hyperlink" Id="rId122"/>
    <Relationship TargetMode="External" Target="https://www.legis.iowa.gov/docs/iac/rule/441.78.1.pdf" Type="http://schemas.openxmlformats.org/officeDocument/2006/relationships/hyperlink" Id="rId123"/>
    <Relationship TargetMode="External" Target="https://www.legis.iowa.gov/docs/iac/rule/441.77.14.pdf" Type="http://schemas.openxmlformats.org/officeDocument/2006/relationships/hyperlink" Id="rId124"/>
    <Relationship TargetMode="External" Target="https://www.legis.iowa.gov/docs/iac/rule/441.79.8.pdf" Type="http://schemas.openxmlformats.org/officeDocument/2006/relationships/hyperlink" Id="rId125"/>
    <Relationship TargetMode="External" Target="https://www.legis.iowa.gov/docs/iac/rule/441.78.16.pdf" Type="http://schemas.openxmlformats.org/officeDocument/2006/relationships/hyperlink" Id="rId126"/>
    <Relationship TargetMode="External" Target="https://www.legis.iowa.gov/docs/ico/chapter/228.1.pdf" Type="http://schemas.openxmlformats.org/officeDocument/2006/relationships/hyperlink" Id="rId127"/>
    <Relationship TargetMode="External" Target="https://www.legis.iowa.gov/docs/iac/rule/441.78.16.pdf" Type="http://schemas.openxmlformats.org/officeDocument/2006/relationships/hyperlink" Id="rId128"/>
    <Relationship TargetMode="External" Target="https://www.legis.iowa.gov/docs/iac/rule/441.78.16.pdf" Type="http://schemas.openxmlformats.org/officeDocument/2006/relationships/hyperlink" Id="rId129"/>
    <Relationship TargetMode="External" Target="https://www.legis.iowa.gov/docs/iac/rule/441.78.16.pdf" Type="http://schemas.openxmlformats.org/officeDocument/2006/relationships/hyperlink" Id="rId130"/>
    <Relationship TargetMode="External" Target="https://www.legis.iowa.gov/docs/iac/rule/441.24.1.pdf" Type="http://schemas.openxmlformats.org/officeDocument/2006/relationships/hyperlink" Id="rId131"/>
    <Relationship TargetMode="External" Target="https://www.legis.iowa.gov/docs/iac/rule/441.78.16.pdf" Type="http://schemas.openxmlformats.org/officeDocument/2006/relationships/hyperlink" Id="rId132"/>
    <Relationship TargetMode="External" Target="https://www.legis.iowa.gov/docs/iac/chapter/441.114.pdf" Type="http://schemas.openxmlformats.org/officeDocument/2006/relationships/hyperlink" Id="rId133"/>
    <Relationship TargetMode="External" Target="https://www.legis.iowa.gov/docs/iac/rule/441.24.1.pdf" Type="http://schemas.openxmlformats.org/officeDocument/2006/relationships/hyperlink" Id="rId134"/>
    <Relationship TargetMode="External" Target="https://www.legis.iowa.gov/docs/iac/rule/441.24.1.pdf" Type="http://schemas.openxmlformats.org/officeDocument/2006/relationships/hyperlink" Id="rId135"/>
    <Relationship TargetMode="External" Target="https://www.legis.iowa.gov/docs/iac/rule/441.24.1.pdf" Type="http://schemas.openxmlformats.org/officeDocument/2006/relationships/hyperlink" Id="rId136"/>
    <Relationship TargetMode="External" Target="https://www.legis.iowa.gov/docs/iac/rule/441.78.16.pdf" Type="http://schemas.openxmlformats.org/officeDocument/2006/relationships/hyperlink" Id="rId137"/>
    <Relationship TargetMode="External" Target="https://www.legis.iowa.gov/docs/iac/rule/441.78.19.pdf" Type="http://schemas.openxmlformats.org/officeDocument/2006/relationships/hyperlink" Id="rId138"/>
    <Relationship TargetMode="External" Target="https://www.legis.iowa.gov/docs/iac/rule/441.84.1.pdf" Type="http://schemas.openxmlformats.org/officeDocument/2006/relationships/hyperlink" Id="rId139"/>
    <Relationship TargetMode="External" Target="https://www.legis.iowa.gov/docs/iac/rule/441.78.18.pdf" Type="http://schemas.openxmlformats.org/officeDocument/2006/relationships/hyperlink" Id="rId140"/>
    <Relationship TargetMode="External" Target="https://www.legis.iowa.gov/docs/ico/chapter/135C.4.pdf" Type="http://schemas.openxmlformats.org/officeDocument/2006/relationships/hyperlink" Id="rId141"/>
    <Relationship TargetMode="External" Target="https://www.legis.iowa.gov/docs/iac/rule/441.78.19.pdf" Type="http://schemas.openxmlformats.org/officeDocument/2006/relationships/hyperlink" Id="rId142"/>
    <Relationship TargetMode="External" Target="https://www.legis.iowa.gov/docs/iac/rule/441.78.19.pdf" Type="http://schemas.openxmlformats.org/officeDocument/2006/relationships/hyperlink" Id="rId143"/>
    <Relationship TargetMode="External" Target="https://www.legis.iowa.gov/docs/iac/rule/441.78.19.pdf" Type="http://schemas.openxmlformats.org/officeDocument/2006/relationships/hyperlink" Id="rId144"/>
    <Relationship TargetMode="External" Target="https://www.legis.iowa.gov/docs/iac/rule/441.78.19.pdf" Type="http://schemas.openxmlformats.org/officeDocument/2006/relationships/hyperlink" Id="rId145"/>
    <Relationship TargetMode="External" Target="https://www.legis.iowa.gov/docs/iac/rule/441.78.19.pdf" Type="http://schemas.openxmlformats.org/officeDocument/2006/relationships/hyperlink" Id="rId146"/>
    <Relationship TargetMode="External" Target="https://www.legis.iowa.gov/docs/iac/rule/441.78.19.pdf" Type="http://schemas.openxmlformats.org/officeDocument/2006/relationships/hyperlink" Id="rId147"/>
    <Relationship TargetMode="External" Target="https://www.legis.iowa.gov/docs/iac/rule/441.78.19.pdf" Type="http://schemas.openxmlformats.org/officeDocument/2006/relationships/hyperlink" Id="rId148"/>
    <Relationship TargetMode="External" Target="https://www.legis.iowa.gov/docs/iac/rule/441.78.19.pdf" Type="http://schemas.openxmlformats.org/officeDocument/2006/relationships/hyperlink" Id="rId149"/>
    <Relationship TargetMode="External" Target="https://www.legis.iowa.gov/docs/iac/rule/441.78.19.pdf" Type="http://schemas.openxmlformats.org/officeDocument/2006/relationships/hyperlink" Id="rId150"/>
    <Relationship TargetMode="External" Target="https://www.legis.iowa.gov/docs/iac/rule/441.78.1.pdf" Type="http://schemas.openxmlformats.org/officeDocument/2006/relationships/hyperlink" Id="rId151"/>
    <Relationship TargetMode="External" Target="https://www.legis.iowa.gov/docs/iac/rule/441.78.25.pdf" Type="http://schemas.openxmlformats.org/officeDocument/2006/relationships/hyperlink" Id="rId152"/>
    <Relationship TargetMode="External" Target="https://www.legis.iowa.gov/docs/iac/rule/441.78.1.pdf" Type="http://schemas.openxmlformats.org/officeDocument/2006/relationships/hyperlink" Id="rId153"/>
    <Relationship TargetMode="External" Target="https://www.legis.iowa.gov/docs/iac/rule/441.78.1.pdf" Type="http://schemas.openxmlformats.org/officeDocument/2006/relationships/hyperlink" Id="rId154"/>
    <Relationship TargetMode="External" Target="https://www.legis.iowa.gov/docs/iac/rule/441.78.25.pdf" Type="http://schemas.openxmlformats.org/officeDocument/2006/relationships/hyperlink" Id="rId155"/>
    <Relationship TargetMode="External" Target="https://www.legis.iowa.gov/docs/iac/rule/441.78.1.pdf" Type="http://schemas.openxmlformats.org/officeDocument/2006/relationships/hyperlink" Id="rId156"/>
    <Relationship TargetMode="External" Target="https://www.legis.iowa.gov/docs/iac/rule/441.78.25.pdf" Type="http://schemas.openxmlformats.org/officeDocument/2006/relationships/hyperlink" Id="rId157"/>
    <Relationship TargetMode="External" Target="https://www.legis.iowa.gov/docs/ico/chapter/152.pdf" Type="http://schemas.openxmlformats.org/officeDocument/2006/relationships/hyperlink" Id="rId158"/>
    <Relationship TargetMode="External" Target="https://www.legis.iowa.gov/docs/ico/chapter/148C.pdf" Type="http://schemas.openxmlformats.org/officeDocument/2006/relationships/hyperlink" Id="rId159"/>
    <Relationship TargetMode="External" Target="https://www.legis.iowa.gov/docs/iac/rule/441.78.11.pdf" Type="http://schemas.openxmlformats.org/officeDocument/2006/relationships/hyperlink" Id="rId160"/>
    <Relationship TargetMode="External" Target="https://www.legis.iowa.gov/docs/iac/rule/441.78.13.pdf" Type="http://schemas.openxmlformats.org/officeDocument/2006/relationships/hyperlink" Id="rId161"/>
    <Relationship TargetMode="External" Target="https://www.legis.iowa.gov/docs/iac/chapter/481.576.pdf" Type="http://schemas.openxmlformats.org/officeDocument/2006/relationships/hyperlink" Id="rId162"/>
    <Relationship TargetMode="External" Target="https://www.legis.iowa.gov/docs/iac/rule/441.78.1.pdf" Type="http://schemas.openxmlformats.org/officeDocument/2006/relationships/hyperlink" Id="rId163"/>
    <Relationship TargetMode="External" Target="https://www.legis.iowa.gov/docs/iac/rule/441.78.4.pdf" Type="http://schemas.openxmlformats.org/officeDocument/2006/relationships/hyperlink" Id="rId164"/>
    <Relationship TargetMode="External" Target="https://www.legis.iowa.gov/docs/iac/rule/441.78.1.pdf" Type="http://schemas.openxmlformats.org/officeDocument/2006/relationships/hyperlink" Id="rId165"/>
    <Relationship TargetMode="External" Target="https://www.legis.iowa.gov/docs/iac/rule/441.78.4.pdf" Type="http://schemas.openxmlformats.org/officeDocument/2006/relationships/hyperlink" Id="rId166"/>
    <Relationship TargetMode="External" Target="https://www.legis.iowa.gov/docs/iac/rule/441.78.1.pdf" Type="http://schemas.openxmlformats.org/officeDocument/2006/relationships/hyperlink" Id="rId167"/>
    <Relationship TargetMode="External" Target="https://www.legis.iowa.gov/docs/iac/rule/441.78.1.pdf" Type="http://schemas.openxmlformats.org/officeDocument/2006/relationships/hyperlink" Id="rId168"/>
    <Relationship TargetMode="External" Target="https://www.legis.iowa.gov/docs/iac/rule/441.78.1.pdf" Type="http://schemas.openxmlformats.org/officeDocument/2006/relationships/hyperlink" Id="rId169"/>
    <Relationship TargetMode="External" Target="https://www.legis.iowa.gov/docs/iac/chapter/441.24.pdf" Type="http://schemas.openxmlformats.org/officeDocument/2006/relationships/hyperlink" Id="rId170"/>
    <Relationship TargetMode="External" Target="https://www.legis.iowa.gov/docs/iac/chapter/441.90.pdf" Type="http://schemas.openxmlformats.org/officeDocument/2006/relationships/hyperlink" Id="rId171"/>
    <Relationship TargetMode="External" Target="http://ipsworks.org" Type="http://schemas.openxmlformats.org/officeDocument/2006/relationships/hyperlink" Id="rId172"/>
    <Relationship TargetMode="External" Target="https://www.legis.iowa.gov/docs/iac/rule/441.77.30.pdf" Type="http://schemas.openxmlformats.org/officeDocument/2006/relationships/hyperlink" Id="rId173"/>
    <Relationship TargetMode="External" Target="https://www.legis.iowa.gov/docs/ico/chapter/514B.1.pdf" Type="http://schemas.openxmlformats.org/officeDocument/2006/relationships/hyperlink" Id="rId174"/>
    <Relationship TargetMode="External" Target="https://www.legis.iowa.gov/docs/iac/chapter/441.75.pdf" Type="http://schemas.openxmlformats.org/officeDocument/2006/relationships/hyperlink" Id="rId175"/>
    <Relationship TargetMode="External" Target="https://www.legis.iowa.gov/docs/iac/rule/441.78.27.pdf" Type="http://schemas.openxmlformats.org/officeDocument/2006/relationships/hyperlink" Id="rId176"/>
    <Relationship TargetMode="External" Target="https://www.legis.iowa.gov/docs/iac/rule/441.90.4.pdf" Type="http://schemas.openxmlformats.org/officeDocument/2006/relationships/hyperlink" Id="rId177"/>
    <Relationship TargetMode="External" Target="https://www.legis.iowa.gov/docs/iac/rule/441.78.27.pdf" Type="http://schemas.openxmlformats.org/officeDocument/2006/relationships/hyperlink" Id="rId178"/>
    <Relationship TargetMode="External" Target="https://www.legis.iowa.gov/docs/iac/rule/441.90.4.pdf" Type="http://schemas.openxmlformats.org/officeDocument/2006/relationships/hyperlink" Id="rId179"/>
    <Relationship TargetMode="External" Target="https://www.legis.iowa.gov/docs/iac/rule/441.79.1.pdf" Type="http://schemas.openxmlformats.org/officeDocument/2006/relationships/hyperlink" Id="rId180"/>
    <Relationship TargetMode="External" Target="https://www.legis.iowa.gov/docs/iac/rule/441.79.1.pdf" Type="http://schemas.openxmlformats.org/officeDocument/2006/relationships/hyperlink" Id="rId181"/>
    <Relationship TargetMode="External" Target="https://www.legis.iowa.gov/docs/iac/chapter/441.16.pdf" Type="http://schemas.openxmlformats.org/officeDocument/2006/relationships/hyperlink" Id="rId182"/>
    <Relationship TargetMode="External" Target="https://www.legis.iowa.gov/docs/iac/rule/441.77.30.pdf" Type="http://schemas.openxmlformats.org/officeDocument/2006/relationships/hyperlink" Id="rId183"/>
    <Relationship TargetMode="External" Target="https://www.legis.iowa.gov/docs/iac/rule/441.78.27.pdf" Type="http://schemas.openxmlformats.org/officeDocument/2006/relationships/hyperlink" Id="rId184"/>
    <Relationship TargetMode="External" Target="https://www.legis.iowa.gov/docs/iac/rule/441.79.3.pdf" Type="http://schemas.openxmlformats.org/officeDocument/2006/relationships/hyperlink" Id="rId185"/>
    <Relationship TargetMode="External" Target="https://www.legis.iowa.gov/docs/iac/rule/441.90.4.pdf" Type="http://schemas.openxmlformats.org/officeDocument/2006/relationships/hyperlink" Id="rId186"/>
    <Relationship TargetMode="External" Target="https://www.legis.iowa.gov/docs/iac/rule/441.90.7.pdf" Type="http://schemas.openxmlformats.org/officeDocument/2006/relationships/hyperlink" Id="rId187"/>
    <Relationship TargetMode="External" Target="https://www.legis.iowa.gov/docs/iac/chapter/441.90.pdf" Type="http://schemas.openxmlformats.org/officeDocument/2006/relationships/hyperlink" Id="rId188"/>
    <Relationship TargetMode="External" Target="https://www.legis.iowa.gov/docs/iac/rule/441.77.30.pdf" Type="http://schemas.openxmlformats.org/officeDocument/2006/relationships/hyperlink" Id="rId189"/>
    <Relationship TargetMode="External" Target="https://www.legis.iowa.gov/docs/iac/rule/441.77.30.pdf" Type="http://schemas.openxmlformats.org/officeDocument/2006/relationships/hyperlink" Id="rId190"/>
    <Relationship TargetMode="External" Target="https://www.legis.iowa.gov/docs/iac/rule/441.77.30.pdf" Type="http://schemas.openxmlformats.org/officeDocument/2006/relationships/hyperlink" Id="rId191"/>
    <Relationship TargetMode="External" Target="https://www.legis.iowa.gov/docs/iac/rule/441.78.27.pdf" Type="http://schemas.openxmlformats.org/officeDocument/2006/relationships/hyperlink" Id="rId192"/>
    <Relationship TargetMode="External" Target="https://www.legis.iowa.gov/docs/iac/rule/441.78.27.pdf" Type="http://schemas.openxmlformats.org/officeDocument/2006/relationships/hyperlink" Id="rId193"/>
    <Relationship TargetMode="External" Target="https://www.legis.iowa.gov/docs/iac/rule/441.78.27.pdf" Type="http://schemas.openxmlformats.org/officeDocument/2006/relationships/hyperlink" Id="rId194"/>
    <Relationship TargetMode="External" Target="https://www.legis.iowa.gov/docs/iac/rule/441.78.27.pdf" Type="http://schemas.openxmlformats.org/officeDocument/2006/relationships/hyperlink" Id="rId195"/>
    <Relationship TargetMode="External" Target="https://www.legis.iowa.gov/docs/iac/rule/441.78.27.pdf" Type="http://schemas.openxmlformats.org/officeDocument/2006/relationships/hyperlink" Id="rId196"/>
    <Relationship TargetMode="External" Target="https://www.legis.iowa.gov/docs/iac/rule/441.78.27.pdf" Type="http://schemas.openxmlformats.org/officeDocument/2006/relationships/hyperlink" Id="rId197"/>
    <Relationship TargetMode="External" Target="https://www.legis.iowa.gov/docs/iac/rule/441.79.1.pdf" Type="http://schemas.openxmlformats.org/officeDocument/2006/relationships/hyperlink" Id="rId198"/>
    <Relationship TargetMode="External" Target="https://www.legis.iowa.gov/docs/iac/rule/441.79.1.pdf" Type="http://schemas.openxmlformats.org/officeDocument/2006/relationships/hyperlink" Id="rId199"/>
    <Relationship TargetMode="External" Target="https://www.legis.iowa.gov/docs/iac/chapter/441.16.pdf" Type="http://schemas.openxmlformats.org/officeDocument/2006/relationships/hyperlink" Id="rId200"/>
    <Relationship TargetMode="External" Target="https://www.legis.iowa.gov/docs/iac/chapter/441.16.pdf" Type="http://schemas.openxmlformats.org/officeDocument/2006/relationships/hyperlink" Id="rId201"/>
    <Relationship TargetMode="External" Target="https://www.legis.iowa.gov/docs/iac/chapter/441.2506.pdf" Type="http://schemas.openxmlformats.org/officeDocument/2006/relationships/hyperlink" Id="rId202"/>
    <Relationship TargetMode="External" Target="https://www.legis.iowa.gov/docs/ico/chapter/249A.20A.pdf" Type="http://schemas.openxmlformats.org/officeDocument/2006/relationships/hyperlink" Id="rId203"/>
    <Relationship TargetMode="External" Target="https://www.legis.iowa.gov/docs/ico/chapter/249A.20A.pdf" Type="http://schemas.openxmlformats.org/officeDocument/2006/relationships/hyperlink" Id="rId204"/>
    <Relationship TargetMode="External" Target="https://www.legis.iowa.gov/docs/iac/rule/441.78.10.pdf" Type="http://schemas.openxmlformats.org/officeDocument/2006/relationships/hyperlink" Id="rId205"/>
    <Relationship TargetMode="External" Target="https://www.legis.iowa.gov/docs/iac/rule/441.78.10.pdf" Type="http://schemas.openxmlformats.org/officeDocument/2006/relationships/hyperlink" Id="rId206"/>
    <Relationship TargetMode="External" Target="https://www.legis.iowa.gov/docs/iac/rule/441.78.10.pdf" Type="http://schemas.openxmlformats.org/officeDocument/2006/relationships/hyperlink" Id="rId207"/>
    <Relationship TargetMode="External" Target="https://www.legis.iowa.gov/docs/iac/rule/441.78.10.pdf" Type="http://schemas.openxmlformats.org/officeDocument/2006/relationships/hyperlink" Id="rId208"/>
    <Relationship TargetMode="External" Target="https://www.legis.iowa.gov/docs/iac/rule/441.78.10.pdf" Type="http://schemas.openxmlformats.org/officeDocument/2006/relationships/hyperlink" Id="rId209"/>
    <Relationship TargetMode="External" Target="https://www.legis.iowa.gov/docs/iac/rule/441.78.10.pdf" Type="http://schemas.openxmlformats.org/officeDocument/2006/relationships/hyperlink" Id="rId210"/>
    <Relationship TargetMode="External" Target="https://www.legis.iowa.gov/docs/iac/rule/441.78.10.pdf" Type="http://schemas.openxmlformats.org/officeDocument/2006/relationships/hyperlink" Id="rId211"/>
    <Relationship TargetMode="External" Target="https://www.legis.iowa.gov/docs/iac/rule/441.78.10.pdf" Type="http://schemas.openxmlformats.org/officeDocument/2006/relationships/hyperlink" Id="rId212"/>
    <Relationship TargetMode="External" Target="https://www.legis.iowa.gov/docs/iac/rule/441.78.10.pdf" Type="http://schemas.openxmlformats.org/officeDocument/2006/relationships/hyperlink" Id="rId213"/>
    <Relationship TargetMode="External" Target="https://www.legis.iowa.gov/docs/iac/rule/441.78.10.pdf" Type="http://schemas.openxmlformats.org/officeDocument/2006/relationships/hyperlink" Id="rId214"/>
    <Relationship TargetMode="External" Target="https://www.legis.iowa.gov/docs/iac/rule/441.78.10.pdf" Type="http://schemas.openxmlformats.org/officeDocument/2006/relationships/hyperlink" Id="rId215"/>
    <Relationship TargetMode="External" Target="https://www.legis.iowa.gov/docs/iac/rule/441.78.10.pdf" Type="http://schemas.openxmlformats.org/officeDocument/2006/relationships/hyperlink" Id="rId216"/>
    <Relationship TargetMode="External" Target="https://www.legis.iowa.gov/docs/iac/rule/441.78.28.pdf" Type="http://schemas.openxmlformats.org/officeDocument/2006/relationships/hyperlink" Id="rId217"/>
    <Relationship TargetMode="External" Target="https://www.legis.iowa.gov/docs/iac/rule/441.78.7.pdf" Type="http://schemas.openxmlformats.org/officeDocument/2006/relationships/hyperlink" Id="rId218"/>
    <Relationship TargetMode="External" Target="https://www.legis.iowa.gov/docs/iac/rule/441.78.1.pdf" Type="http://schemas.openxmlformats.org/officeDocument/2006/relationships/hyperlink" Id="rId219"/>
    <Relationship TargetMode="External" Target="https://www.legis.iowa.gov/docs/iac/rule/441.78.9.pdf" Type="http://schemas.openxmlformats.org/officeDocument/2006/relationships/hyperlink" Id="rId220"/>
    <Relationship TargetMode="External" Target="https://www.legis.iowa.gov/docs/iac/rule/441.78.9.pdf" Type="http://schemas.openxmlformats.org/officeDocument/2006/relationships/hyperlink" Id="rId221"/>
    <Relationship TargetMode="External" Target="https://www.legis.iowa.gov/docs/iac/rule/441.78.28.pdf" Type="http://schemas.openxmlformats.org/officeDocument/2006/relationships/hyperlink" Id="rId222"/>
    <Relationship TargetMode="External" Target="https://www.legis.iowa.gov/docs/iac/rule/441.78.28.pdf" Type="http://schemas.openxmlformats.org/officeDocument/2006/relationships/hyperlink" Id="rId223"/>
    <Relationship TargetMode="External" Target="https://www.legis.iowa.gov/docs/iac/rule/441.79.10.pdf" Type="http://schemas.openxmlformats.org/officeDocument/2006/relationships/hyperlink" Id="rId224"/>
    <Relationship TargetMode="External" Target="https://www.legis.iowa.gov/docs/iac/rule/441.78.31.pdf" Type="http://schemas.openxmlformats.org/officeDocument/2006/relationships/hyperlink" Id="rId225"/>
    <Relationship TargetMode="External" Target="https://www.legis.iowa.gov/docs/iac/rule/441.78.31.pdf" Type="http://schemas.openxmlformats.org/officeDocument/2006/relationships/hyperlink" Id="rId226"/>
    <Relationship TargetMode="External" Target="https://www.legis.iowa.gov/docs/iac/rule/441.78.31.pdf" Type="http://schemas.openxmlformats.org/officeDocument/2006/relationships/hyperlink" Id="rId227"/>
    <Relationship TargetMode="External" Target="https://www.legis.iowa.gov/docs/iac/rule/441.78.31.pdf" Type="http://schemas.openxmlformats.org/officeDocument/2006/relationships/hyperlink" Id="rId228"/>
    <Relationship TargetMode="External" Target="https://www.legis.iowa.gov/docs/iac/rule/441.78.31.pdf" Type="http://schemas.openxmlformats.org/officeDocument/2006/relationships/hyperlink" Id="rId229"/>
    <Relationship TargetMode="External" Target="https://www.legis.iowa.gov/docs/iac/rule/441.78.31.pdf" Type="http://schemas.openxmlformats.org/officeDocument/2006/relationships/hyperlink" Id="rId230"/>
    <Relationship TargetMode="External" Target="https://www.legis.iowa.gov/docs/iac/rule/441.78.31.pdf" Type="http://schemas.openxmlformats.org/officeDocument/2006/relationships/hyperlink" Id="rId231"/>
    <Relationship TargetMode="External" Target="https://www.legis.iowa.gov/docs/iac/rule/441.24.1.pdf" Type="http://schemas.openxmlformats.org/officeDocument/2006/relationships/hyperlink" Id="rId232"/>
    <Relationship TargetMode="External" Target="https://www.legis.iowa.gov/docs/iac/rule/441.78.16.pdf" Type="http://schemas.openxmlformats.org/officeDocument/2006/relationships/hyperlink" Id="rId233"/>
    <Relationship TargetMode="External" Target="https://www.legis.iowa.gov/docs/iac/rule/441.78.16.pdf" Type="http://schemas.openxmlformats.org/officeDocument/2006/relationships/hyperlink" Id="rId234"/>
    <Relationship TargetMode="External" Target="https://www.legis.iowa.gov/docs/iac/chapter/441.90.pdf" Type="http://schemas.openxmlformats.org/officeDocument/2006/relationships/hyperlink" Id="rId235"/>
    <Relationship TargetMode="External" Target="https://www.legis.iowa.gov/docs/iac/rule/441.90.1.pdf" Type="http://schemas.openxmlformats.org/officeDocument/2006/relationships/hyperlink" Id="rId236"/>
    <Relationship TargetMode="External" Target="https://www.legis.iowa.gov/docs/iac/chapter/441.83.pdf" Type="http://schemas.openxmlformats.org/officeDocument/2006/relationships/hyperlink" Id="rId237"/>
    <Relationship TargetMode="External" Target="https://www.legis.iowa.gov/docs/iac/rule/441.78.9.pdf" Type="http://schemas.openxmlformats.org/officeDocument/2006/relationships/hyperlink" Id="rId238"/>
    <Relationship TargetMode="External" Target="https://www.legis.iowa.gov/docs/iac/chapter/441.83.pdf" Type="http://schemas.openxmlformats.org/officeDocument/2006/relationships/hyperlink" Id="rId239"/>
    <Relationship TargetMode="External" Target="https://www.legis.iowa.gov/docs/ico/chapter/135C.pdf" Type="http://schemas.openxmlformats.org/officeDocument/2006/relationships/hyperlink" Id="rId240"/>
    <Relationship TargetMode="External" Target="https://www.legis.iowa.gov/docs/iac/rule/441.24.1.pdf" Type="http://schemas.openxmlformats.org/officeDocument/2006/relationships/hyperlink" Id="rId241"/>
    <Relationship TargetMode="External" Target="https://www.legis.iowa.gov/docs/iac/rule/441.78.34.pdf" Type="http://schemas.openxmlformats.org/officeDocument/2006/relationships/hyperlink" Id="rId242"/>
    <Relationship TargetMode="External" Target="https://www.legis.iowa.gov/docs/iac/rule/441.78.34.pdf" Type="http://schemas.openxmlformats.org/officeDocument/2006/relationships/hyperlink" Id="rId243"/>
    <Relationship TargetMode="External" Target="https://www.legis.iowa.gov/docs/iac/rule/441.79.10.pdf" Type="http://schemas.openxmlformats.org/officeDocument/2006/relationships/hyperlink" Id="rId244"/>
    <Relationship TargetMode="External" Target="https://www.legis.iowa.gov/docs/iac/rule/441.79.3.pdf" Type="http://schemas.openxmlformats.org/officeDocument/2006/relationships/hyperlink" Id="rId245"/>
    <Relationship TargetMode="External" Target="https://www.legis.iowa.gov/docs/iac/rule/441.79.3.pdf" Type="http://schemas.openxmlformats.org/officeDocument/2006/relationships/hyperlink" Id="rId246"/>
    <Relationship TargetMode="External" Target="https://www.legis.iowa.gov/docs/iac/rule/441.78.9.pdf" Type="http://schemas.openxmlformats.org/officeDocument/2006/relationships/hyperlink" Id="rId247"/>
    <Relationship TargetMode="External" Target="https://www.legis.iowa.gov/docs/iac/rule/441.78.9.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8.34.pdf" Type="http://schemas.openxmlformats.org/officeDocument/2006/relationships/hyperlink" Id="rId250"/>
    <Relationship TargetMode="External" Target="https://www.legis.iowa.gov/docs/iac/rule/441.78.34.pdf" Type="http://schemas.openxmlformats.org/officeDocument/2006/relationships/hyperlink" Id="rId251"/>
    <Relationship TargetMode="External" Target="https://www.legis.iowa.gov/docs/iac/rule/441.78.34.pdf" Type="http://schemas.openxmlformats.org/officeDocument/2006/relationships/hyperlink" Id="rId252"/>
    <Relationship TargetMode="External" Target="https://www.legis.iowa.gov/docs/iac/rule/441.78.34.pdf" Type="http://schemas.openxmlformats.org/officeDocument/2006/relationships/hyperlink" Id="rId253"/>
    <Relationship TargetMode="External" Target="https://www.legis.iowa.gov/docs/iac/rule/441.78.34.pdf" Type="http://schemas.openxmlformats.org/officeDocument/2006/relationships/hyperlink" Id="rId254"/>
    <Relationship TargetMode="External" Target="https://www.legis.iowa.gov/docs/iac/rule/441.78.34.pdf" Type="http://schemas.openxmlformats.org/officeDocument/2006/relationships/hyperlink" Id="rId255"/>
    <Relationship TargetMode="External" Target="https://www.legis.iowa.gov/docs/iac/chapter/441.119.pdf" Type="http://schemas.openxmlformats.org/officeDocument/2006/relationships/hyperlink" Id="rId256"/>
    <Relationship TargetMode="External" Target="https://www.legis.iowa.gov/docs/iac/rule/441.78.34.pdf" Type="http://schemas.openxmlformats.org/officeDocument/2006/relationships/hyperlink" Id="rId257"/>
    <Relationship TargetMode="External" Target="https://www.legis.iowa.gov/docs/iac/rule/441.78.34.pdf" Type="http://schemas.openxmlformats.org/officeDocument/2006/relationships/hyperlink" Id="rId258"/>
    <Relationship TargetMode="External" Target="https://www.legis.iowa.gov/docs/iac/rule/441.78.34.pdf" Type="http://schemas.openxmlformats.org/officeDocument/2006/relationships/hyperlink" Id="rId259"/>
    <Relationship TargetMode="External" Target="https://www.legis.iowa.gov/docs/iac/rule/441.79.1.pdf" Type="http://schemas.openxmlformats.org/officeDocument/2006/relationships/hyperlink" Id="rId260"/>
    <Relationship TargetMode="External" Target="https://www.legis.iowa.gov/docs/iac/rule/441.78.34.pdf" Type="http://schemas.openxmlformats.org/officeDocument/2006/relationships/hyperlink" Id="rId261"/>
    <Relationship TargetMode="External" Target="https://www.legis.iowa.gov/docs/iac/rule/441.78.34.pdf" Type="http://schemas.openxmlformats.org/officeDocument/2006/relationships/hyperlink" Id="rId262"/>
    <Relationship TargetMode="External" Target="https://www.legis.iowa.gov/docs/iac/rule/441.78.34.pdf" Type="http://schemas.openxmlformats.org/officeDocument/2006/relationships/hyperlink" Id="rId263"/>
    <Relationship TargetMode="External" Target="https://www.legis.iowa.gov/docs/iac/chapter/441.119.pdf" Type="http://schemas.openxmlformats.org/officeDocument/2006/relationships/hyperlink" Id="rId264"/>
    <Relationship TargetMode="External" Target="https://www.legis.iowa.gov/docs/iac/rule/441.79.3.pdf" Type="http://schemas.openxmlformats.org/officeDocument/2006/relationships/hyperlink" Id="rId265"/>
    <Relationship TargetMode="External" Target="https://www.legis.iowa.gov/docs/iac/chapter/441.79.pdf" Type="http://schemas.openxmlformats.org/officeDocument/2006/relationships/hyperlink" Id="rId266"/>
    <Relationship TargetMode="External" Target="https://www.legis.iowa.gov/docs/iac/chapter/441.79.pdf" Type="http://schemas.openxmlformats.org/officeDocument/2006/relationships/hyperlink" Id="rId267"/>
    <Relationship TargetMode="External" Target="https://www.legis.iowa.gov/docs/iac/rule/441.79.3.pdf" Type="http://schemas.openxmlformats.org/officeDocument/2006/relationships/hyperlink" Id="rId268"/>
    <Relationship TargetMode="External" Target="https://www.legis.iowa.gov/docs/iac/rule/441.78.34.pdf" Type="http://schemas.openxmlformats.org/officeDocument/2006/relationships/hyperlink" Id="rId269"/>
    <Relationship TargetMode="External" Target="https://www.legis.iowa.gov/docs/iac/rule/441.77.30.pdf" Type="http://schemas.openxmlformats.org/officeDocument/2006/relationships/hyperlink" Id="rId270"/>
    <Relationship TargetMode="External" Target="https://www.legis.iowa.gov/docs/iac/rule/441.78.19.pdf" Type="http://schemas.openxmlformats.org/officeDocument/2006/relationships/hyperlink" Id="rId271"/>
    <Relationship TargetMode="External" Target="https://www.legis.iowa.gov/docs/iac/chapter/441.83.pdf" Type="http://schemas.openxmlformats.org/officeDocument/2006/relationships/hyperlink" Id="rId272"/>
    <Relationship TargetMode="External" Target="https://www.legis.iowa.gov/docs/iac/rule/441.78.34.pdf" Type="http://schemas.openxmlformats.org/officeDocument/2006/relationships/hyperlink" Id="rId273"/>
    <Relationship TargetMode="External" Target="https://www.legis.iowa.gov/docs/iac/rule/441.78.34.pdf" Type="http://schemas.openxmlformats.org/officeDocument/2006/relationships/hyperlink" Id="rId274"/>
    <Relationship TargetMode="External" Target="https://www.legis.iowa.gov/docs/iac/rule/441.78.9.pdf" Type="http://schemas.openxmlformats.org/officeDocument/2006/relationships/hyperlink" Id="rId275"/>
    <Relationship TargetMode="External" Target="https://www.legis.iowa.gov/docs/iac/rule/441.78.34.pdf" Type="http://schemas.openxmlformats.org/officeDocument/2006/relationships/hyperlink" Id="rId276"/>
    <Relationship TargetMode="External" Target="https://www.legis.iowa.gov/docs/iac/rule/441.78.34.pdf" Type="http://schemas.openxmlformats.org/officeDocument/2006/relationships/hyperlink" Id="rId277"/>
    <Relationship TargetMode="External" Target="https://www.legis.iowa.gov/docs/iac/rule/441.78.34.pdf" Type="http://schemas.openxmlformats.org/officeDocument/2006/relationships/hyperlink" Id="rId278"/>
    <Relationship TargetMode="External" Target="https://www.legis.iowa.gov/docs/iac/rule/441.78.34.pdf" Type="http://schemas.openxmlformats.org/officeDocument/2006/relationships/hyperlink" Id="rId279"/>
    <Relationship TargetMode="External" Target="https://www.legis.iowa.gov/docs/iac/rule/441.78.34.pdf" Type="http://schemas.openxmlformats.org/officeDocument/2006/relationships/hyperlink" Id="rId280"/>
    <Relationship TargetMode="External" Target="https://www.legis.iowa.gov/docs/iac/rule/441.78.34.pdf" Type="http://schemas.openxmlformats.org/officeDocument/2006/relationships/hyperlink" Id="rId281"/>
    <Relationship TargetMode="External" Target="https://www.legis.iowa.gov/docs/iac/rule/441.83.22.pdf" Type="http://schemas.openxmlformats.org/officeDocument/2006/relationships/hyperlink" Id="rId282"/>
    <Relationship TargetMode="External" Target="https://www.legis.iowa.gov/docs/iac/rule/441.90.4.pdf" Type="http://schemas.openxmlformats.org/officeDocument/2006/relationships/hyperlink" Id="rId283"/>
    <Relationship TargetMode="External" Target="https://www.legis.iowa.gov/docs/iac/rule/441.90.7.pdf" Type="http://schemas.openxmlformats.org/officeDocument/2006/relationships/hyperlink" Id="rId284"/>
    <Relationship TargetMode="External" Target="https://www.legis.iowa.gov/docs/iac/rule/441.79.3.pdf" Type="http://schemas.openxmlformats.org/officeDocument/2006/relationships/hyperlink" Id="rId285"/>
    <Relationship TargetMode="External" Target="https://www.legis.iowa.gov/docs/iac/rule/441.77.30.pdf" Type="http://schemas.openxmlformats.org/officeDocument/2006/relationships/hyperlink" Id="rId286"/>
    <Relationship TargetMode="External" Target="https://www.legis.iowa.gov/docs/iac/rule/441.78.31.pdf" Type="http://schemas.openxmlformats.org/officeDocument/2006/relationships/hyperlink" Id="rId287"/>
    <Relationship TargetMode="External" Target="https://www.legis.iowa.gov/docs/iac/chapter/441.83.pdf" Type="http://schemas.openxmlformats.org/officeDocument/2006/relationships/hyperlink" Id="rId288"/>
    <Relationship TargetMode="External" Target="https://www.legis.iowa.gov/docs/iac/rule/441.24.1.pdf" Type="http://schemas.openxmlformats.org/officeDocument/2006/relationships/hyperlink" Id="rId289"/>
    <Relationship TargetMode="External" Target="https://www.legis.iowa.gov/docs/iac/rule/441.78.9.pdf" Type="http://schemas.openxmlformats.org/officeDocument/2006/relationships/hyperlink" Id="rId290"/>
    <Relationship TargetMode="External" Target="https://www.legis.iowa.gov/docs/iac/rule/441.78.34.pdf" Type="http://schemas.openxmlformats.org/officeDocument/2006/relationships/hyperlink" Id="rId291"/>
    <Relationship TargetMode="External" Target="https://www.legis.iowa.gov/docs/iac/rule/441.78.34.pdf" Type="http://schemas.openxmlformats.org/officeDocument/2006/relationships/hyperlink" Id="rId292"/>
    <Relationship TargetMode="External" Target="https://www.legis.iowa.gov/docs/iac/rule/441.78.34.pdf" Type="http://schemas.openxmlformats.org/officeDocument/2006/relationships/hyperlink" Id="rId293"/>
    <Relationship TargetMode="External" Target="https://www.legis.iowa.gov/docs/iac/rule/441.78.34.pdf" Type="http://schemas.openxmlformats.org/officeDocument/2006/relationships/hyperlink" Id="rId294"/>
    <Relationship TargetMode="External" Target="https://www.legis.iowa.gov/docs/iac/rule/441.78.34.pdf" Type="http://schemas.openxmlformats.org/officeDocument/2006/relationships/hyperlink" Id="rId295"/>
    <Relationship TargetMode="External" Target="https://www.legis.iowa.gov/docs/iac/rule/441.78.34.pdf" Type="http://schemas.openxmlformats.org/officeDocument/2006/relationships/hyperlink" Id="rId296"/>
    <Relationship TargetMode="External" Target="https://www.legis.iowa.gov/docs/iac/rule/441.77.30.pdf" Type="http://schemas.openxmlformats.org/officeDocument/2006/relationships/hyperlink" Id="rId297"/>
    <Relationship TargetMode="External" Target="https://www.legis.iowa.gov/docs/iac/rule/441.78.34.pdf" Type="http://schemas.openxmlformats.org/officeDocument/2006/relationships/hyperlink" Id="rId298"/>
    <Relationship TargetMode="External" Target="https://www.legis.iowa.gov/docs/iac/rule/441.78.25.pdf" Type="http://schemas.openxmlformats.org/officeDocument/2006/relationships/hyperlink" Id="rId299"/>
    <Relationship TargetMode="External" Target="https://www.legis.iowa.gov/docs/iac/rule/441.78.1.pdf" Type="http://schemas.openxmlformats.org/officeDocument/2006/relationships/hyperlink" Id="rId300"/>
    <Relationship TargetMode="External" Target="https://www.legis.iowa.gov/docs/iac/rule/441.78.25.pdf" Type="http://schemas.openxmlformats.org/officeDocument/2006/relationships/hyperlink" Id="rId301"/>
    <Relationship TargetMode="External" Target="https://www.legis.iowa.gov/docs/iac/chapter/441.83.pdf" Type="http://schemas.openxmlformats.org/officeDocument/2006/relationships/hyperlink" Id="rId302"/>
    <Relationship TargetMode="External" Target="https://www.legis.iowa.gov/docs/iac/rule/441.78.13.pdf" Type="http://schemas.openxmlformats.org/officeDocument/2006/relationships/hyperlink" Id="rId303"/>
    <Relationship TargetMode="External" Target="https://www.legis.iowa.gov/docs/iac/rule/441.78.27.pdf" Type="http://schemas.openxmlformats.org/officeDocument/2006/relationships/hyperlink" Id="rId304"/>
    <Relationship TargetMode="External" Target="https://www.legis.iowa.gov/docs/iac/rule/441.77.30.pdf" Type="http://schemas.openxmlformats.org/officeDocument/2006/relationships/hyperlink" Id="rId305"/>
    <Relationship TargetMode="External" Target="https://www.legis.iowa.gov/docs/iac/rule/441.78.41.pdf" Type="http://schemas.openxmlformats.org/officeDocument/2006/relationships/hyperlink" Id="rId306"/>
    <Relationship TargetMode="External" Target="https://www.legis.iowa.gov/docs/iac/rule/441.78.34.pdf" Type="http://schemas.openxmlformats.org/officeDocument/2006/relationships/hyperlink" Id="rId307"/>
    <Relationship TargetMode="External" Target="https://www.legis.iowa.gov/docs/iac/rule/441.78.34.pdf" Type="http://schemas.openxmlformats.org/officeDocument/2006/relationships/hyperlink" Id="rId308"/>
    <Relationship TargetMode="External" Target="https://www.legis.iowa.gov/docs/iac/rule/441.78.34.pdf" Type="http://schemas.openxmlformats.org/officeDocument/2006/relationships/hyperlink" Id="rId309"/>
    <Relationship TargetMode="External" Target="https://www.legis.iowa.gov/docs/iac/rule/441.78.9.pdf" Type="http://schemas.openxmlformats.org/officeDocument/2006/relationships/hyperlink" Id="rId310"/>
    <Relationship TargetMode="External" Target="https://www.legis.iowa.gov/docs/iac/rule/441.78.27.pdf" Type="http://schemas.openxmlformats.org/officeDocument/2006/relationships/hyperlink" Id="rId311"/>
    <Relationship TargetMode="External" Target="https://www.legis.iowa.gov/docs/iac/rule/441.78.34.pdf" Type="http://schemas.openxmlformats.org/officeDocument/2006/relationships/hyperlink" Id="rId312"/>
    <Relationship TargetMode="External" Target="https://www.legis.iowa.gov/docs/iac/rule/441.78.34.pdf" Type="http://schemas.openxmlformats.org/officeDocument/2006/relationships/hyperlink" Id="rId313"/>
    <Relationship TargetMode="External" Target="https://www.legis.iowa.gov/docs/iac/rule/441.77.40.pdf" Type="http://schemas.openxmlformats.org/officeDocument/2006/relationships/hyperlink" Id="rId314"/>
    <Relationship TargetMode="External" Target="https://www.legis.iowa.gov/docs/iac/rule/441.78.34.pdf" Type="http://schemas.openxmlformats.org/officeDocument/2006/relationships/hyperlink" Id="rId315"/>
    <Relationship TargetMode="External" Target="https://www.legis.iowa.gov/docs/iac/rule/441.78.27.pdf" Type="http://schemas.openxmlformats.org/officeDocument/2006/relationships/hyperlink" Id="rId316"/>
    <Relationship TargetMode="External" Target="https://www.legis.iowa.gov/docs/iac/rule/441.78.27.pdf" Type="http://schemas.openxmlformats.org/officeDocument/2006/relationships/hyperlink" Id="rId317"/>
    <Relationship TargetMode="External" Target="https://www.legis.iowa.gov/docs/iac/rule/441.78.34.pdf" Type="http://schemas.openxmlformats.org/officeDocument/2006/relationships/hyperlink" Id="rId318"/>
    <Relationship TargetMode="External" Target="https://www.legis.iowa.gov/docs/iac/rule/441.77.30.pdf" Type="http://schemas.openxmlformats.org/officeDocument/2006/relationships/hyperlink" Id="rId319"/>
    <Relationship TargetMode="External" Target="https://www.legis.iowa.gov/docs/iac/rule/441.78.34.pdf" Type="http://schemas.openxmlformats.org/officeDocument/2006/relationships/hyperlink" Id="rId320"/>
    <Relationship TargetMode="External" Target="https://www.legis.iowa.gov/docs/iac/chapter/441.83.pdf" Type="http://schemas.openxmlformats.org/officeDocument/2006/relationships/hyperlink" Id="rId321"/>
    <Relationship TargetMode="External" Target="https://www.legis.iowa.gov/docs/iac/rule/441.90.4.pdf" Type="http://schemas.openxmlformats.org/officeDocument/2006/relationships/hyperlink" Id="rId322"/>
    <Relationship TargetMode="External" Target="https://www.legis.iowa.gov/docs/iac/rule/441.90.7.pdf" Type="http://schemas.openxmlformats.org/officeDocument/2006/relationships/hyperlink" Id="rId323"/>
    <Relationship TargetMode="External" Target="https://www.legis.iowa.gov/docs/iac/rule/441.78.13.pdf" Type="http://schemas.openxmlformats.org/officeDocument/2006/relationships/hyperlink" Id="rId324"/>
    <Relationship TargetMode="External" Target="https://www.legis.iowa.gov/docs/iac/rule/441.78.43.pdf" Type="http://schemas.openxmlformats.org/officeDocument/2006/relationships/hyperlink" Id="rId325"/>
    <Relationship TargetMode="External" Target="https://www.legis.iowa.gov/docs/iac/chapter/441.83.pdf" Type="http://schemas.openxmlformats.org/officeDocument/2006/relationships/hyperlink" Id="rId326"/>
    <Relationship TargetMode="External" Target="https://www.legis.iowa.gov/docs/ico/chapter/135C.pdf" Type="http://schemas.openxmlformats.org/officeDocument/2006/relationships/hyperlink" Id="rId327"/>
    <Relationship TargetMode="External" Target="https://www.legis.iowa.gov/docs/iac/rule/441.78.27.pdf" Type="http://schemas.openxmlformats.org/officeDocument/2006/relationships/hyperlink" Id="rId328"/>
    <Relationship TargetMode="External" Target="https://www.legis.iowa.gov/docs/iac/rule/441.78.34.pdf" Type="http://schemas.openxmlformats.org/officeDocument/2006/relationships/hyperlink" Id="rId329"/>
    <Relationship TargetMode="External" Target="https://www.legis.iowa.gov/docs/iac/rule/441.78.34.pdf" Type="http://schemas.openxmlformats.org/officeDocument/2006/relationships/hyperlink" Id="rId330"/>
    <Relationship TargetMode="External" Target="https://www.legis.iowa.gov/docs/iac/rule/441.79.1.pdf" Type="http://schemas.openxmlformats.org/officeDocument/2006/relationships/hyperlink" Id="rId331"/>
    <Relationship TargetMode="External" Target="https://www.legis.iowa.gov/docs/iac/rule/441.78.34.pdf" Type="http://schemas.openxmlformats.org/officeDocument/2006/relationships/hyperlink" Id="rId332"/>
    <Relationship TargetMode="External" Target="https://www.legis.iowa.gov/docs/iac/rule/441.78.27.pdf" Type="http://schemas.openxmlformats.org/officeDocument/2006/relationships/hyperlink" Id="rId333"/>
    <Relationship TargetMode="External" Target="https://www.legis.iowa.gov/docs/iac/rule/441.78.34.pdf" Type="http://schemas.openxmlformats.org/officeDocument/2006/relationships/hyperlink" Id="rId334"/>
    <Relationship TargetMode="External" Target="https://www.legis.iowa.gov/docs/iac/rule/441.78.34.pdf" Type="http://schemas.openxmlformats.org/officeDocument/2006/relationships/hyperlink" Id="rId335"/>
    <Relationship TargetMode="External" Target="https://www.legis.iowa.gov/docs/iac/rule/441.78.34.pdf" Type="http://schemas.openxmlformats.org/officeDocument/2006/relationships/hyperlink" Id="rId336"/>
    <Relationship TargetMode="External" Target="https://www.legis.iowa.gov/docs/iac/rule/441.77.30.pdf" Type="http://schemas.openxmlformats.org/officeDocument/2006/relationships/hyperlink" Id="rId337"/>
    <Relationship TargetMode="External" Target="https://www.legis.iowa.gov/docs/iac/rule/441.78.34.pdf" Type="http://schemas.openxmlformats.org/officeDocument/2006/relationships/hyperlink" Id="rId338"/>
    <Relationship TargetMode="External" Target="https://www.legis.iowa.gov/docs/iac/chapter/441.83.pdf" Type="http://schemas.openxmlformats.org/officeDocument/2006/relationships/hyperlink" Id="rId339"/>
    <Relationship TargetMode="External" Target="https://www.legis.iowa.gov/docs/iac/rule/441.78.34.pdf" Type="http://schemas.openxmlformats.org/officeDocument/2006/relationships/hyperlink" Id="rId340"/>
    <Relationship TargetMode="External" Target="https://www.legis.iowa.gov/docs/iac/rule/441.78.34.pdf" Type="http://schemas.openxmlformats.org/officeDocument/2006/relationships/hyperlink" Id="rId341"/>
    <Relationship TargetMode="External" Target="https://www.legis.iowa.gov/docs/iac/rule/441.78.34.pdf" Type="http://schemas.openxmlformats.org/officeDocument/2006/relationships/hyperlink" Id="rId342"/>
    <Relationship TargetMode="External" Target="https://www.legis.iowa.gov/docs/iac/rule/441.78.43.pdf" Type="http://schemas.openxmlformats.org/officeDocument/2006/relationships/hyperlink" Id="rId343"/>
    <Relationship TargetMode="External" Target="https://www.legis.iowa.gov/docs/iac/rule/441.78.34.pdf" Type="http://schemas.openxmlformats.org/officeDocument/2006/relationships/hyperlink" Id="rId344"/>
    <Relationship TargetMode="External" Target="https://www.legis.iowa.gov/docs/iac/rule/441.77.30.pdf" Type="http://schemas.openxmlformats.org/officeDocument/2006/relationships/hyperlink" Id="rId345"/>
    <Relationship TargetMode="External" Target="https://www.legis.iowa.gov/docs/iac/rule/441.78.34.pdf" Type="http://schemas.openxmlformats.org/officeDocument/2006/relationships/hyperlink" Id="rId346"/>
    <Relationship TargetMode="External" Target="https://www.legis.iowa.gov/docs/iac/chapter/441.90.pdf" Type="http://schemas.openxmlformats.org/officeDocument/2006/relationships/hyperlink" Id="rId347"/>
    <Relationship TargetMode="External" Target="https://www.legis.iowa.gov/docs/iac/chapter/441.90.pdf" Type="http://schemas.openxmlformats.org/officeDocument/2006/relationships/hyperlink" Id="rId348"/>
    <Relationship TargetMode="External" Target="https://www.legis.iowa.gov/docs/iac/rule/441.77.47.pdf" Type="http://schemas.openxmlformats.org/officeDocument/2006/relationships/hyperlink" Id="rId349"/>
    <Relationship TargetMode="External" Target="https://www.legis.iowa.gov/docs/iac/rule/441.78.1.pdf" Type="http://schemas.openxmlformats.org/officeDocument/2006/relationships/hyperlink" Id="rId350"/>
    <Relationship TargetMode="External" Target="https://www.legis.iowa.gov/docs/iac/chapter/441.83.pdf" Type="http://schemas.openxmlformats.org/officeDocument/2006/relationships/hyperlink" Id="rId351"/>
    <Relationship TargetMode="External" Target="https://www.legis.iowa.gov/docs/iac/rule/441.77.30.pdf" Type="http://schemas.openxmlformats.org/officeDocument/2006/relationships/hyperlink" Id="rId352"/>
    <Relationship TargetMode="External" Target="https://www.legis.iowa.gov/docs/iac/rule/441.78.34.pdf" Type="http://schemas.openxmlformats.org/officeDocument/2006/relationships/hyperlink" Id="rId353"/>
    <Relationship TargetMode="External" Target="https://www.legis.iowa.gov/docs/iac/rule/441.79.1.pdf" Type="http://schemas.openxmlformats.org/officeDocument/2006/relationships/hyperlink" Id="rId354"/>
    <Relationship TargetMode="External" Target="https://www.legis.iowa.gov/docs/iac/chapter/441.83.pdf" Type="http://schemas.openxmlformats.org/officeDocument/2006/relationships/hyperlink" Id="rId355"/>
    <Relationship TargetMode="External" Target="https://www.legis.iowa.gov/docs/iac/rule/441.24.1.pdf" Type="http://schemas.openxmlformats.org/officeDocument/2006/relationships/hyperlink" Id="rId356"/>
    <Relationship TargetMode="External" Target="https://www.legis.iowa.gov/docs/iac/rule/441.78.34.pdf" Type="http://schemas.openxmlformats.org/officeDocument/2006/relationships/hyperlink" Id="rId357"/>
    <Relationship TargetMode="External" Target="https://www.legis.iowa.gov/docs/iac/rule/481.655.9.pdf" Type="http://schemas.openxmlformats.org/officeDocument/2006/relationships/hyperlink" Id="rId358"/>
    <Relationship TargetMode="External" Target="https://www.legis.iowa.gov/docs/iac/rule/441.83.81.pdf" Type="http://schemas.openxmlformats.org/officeDocument/2006/relationships/hyperlink" Id="rId359"/>
    <Relationship TargetMode="External" Target="https://www.legis.iowa.gov/docs/iac/chapter/441.75.pdf" Type="http://schemas.openxmlformats.org/officeDocument/2006/relationships/hyperlink" Id="rId360"/>
    <Relationship TargetMode="External" Target="https://www.legis.iowa.gov/docs/iac/rule/441.83.81.pdf" Type="http://schemas.openxmlformats.org/officeDocument/2006/relationships/hyperlink" Id="rId361"/>
    <Relationship TargetMode="External" Target="https://www.legis.iowa.gov/docs/iac/rule/441.78.55.pdf" Type="http://schemas.openxmlformats.org/officeDocument/2006/relationships/hyperlink" Id="rId362"/>
    <Relationship TargetMode="External" Target="https://www.legis.iowa.gov/docs/iac/rule/441.78.55.pdf" Type="http://schemas.openxmlformats.org/officeDocument/2006/relationships/hyperlink" Id="rId363"/>
    <Relationship TargetMode="External" Target="https://www.legis.iowa.gov/docs/iac/rule/441.78.55.pdf" Type="http://schemas.openxmlformats.org/officeDocument/2006/relationships/hyperlink" Id="rId364"/>
    <Relationship TargetMode="External" Target="https://www.legis.iowa.gov/docs/iac/rule/441.77.53.pdf" Type="http://schemas.openxmlformats.org/officeDocument/2006/relationships/hyperlink" Id="rId365"/>
    <Relationship TargetMode="External" Target="https://www.legis.iowa.gov/docs/iac/rule/441.79.3.pdf" Type="http://schemas.openxmlformats.org/officeDocument/2006/relationships/hyperlink" Id="rId366"/>
    <Relationship TargetMode="External" Target="https://www.legis.iowa.gov/docs/iac/rule/441.78.56.pdf" Type="http://schemas.openxmlformats.org/officeDocument/2006/relationships/hyperlink" Id="rId367"/>
    <Relationship TargetMode="External" Target="https://www.legis.iowa.gov/docs/iac/rule/441.78.56.pdf" Type="http://schemas.openxmlformats.org/officeDocument/2006/relationships/hyperlink" Id="rId368"/>
    <Relationship TargetMode="External" Target="https://www.legis.iowa.gov/docs/iac/rule/441.78.56.pdf" Type="http://schemas.openxmlformats.org/officeDocument/2006/relationships/hyperlink" Id="rId369"/>
    <Relationship TargetMode="External" Target="https://www.legis.iowa.gov/docs/iac/rule/441.78.56.pdf" Type="http://schemas.openxmlformats.org/officeDocument/2006/relationships/hyperlink" Id="rId370"/>
    <Relationship TargetMode="External" Target="https://www.legis.iowa.gov/docs/iac/rule/441.78.9.pdf" Type="http://schemas.openxmlformats.org/officeDocument/2006/relationships/hyperlink" Id="rId371"/>
    <Relationship TargetMode="External" Target="https://www.legis.iowa.gov/docs/iac/rule/441.79.1.pdf" Type="http://schemas.openxmlformats.org/officeDocument/2006/relationships/hyperlink" Id="rId372"/>
    <Relationship TargetMode="External" Target="https://www.legis.iowa.gov/docs/iac/rule/441.75.6.pdf" Type="http://schemas.openxmlformats.org/officeDocument/2006/relationships/hyperlink" Id="rId373"/>
    <Relationship TargetMode="External" Target="https://www.legis.iowa.gov/docs/iac/rule/441.79.1.pdf" Type="http://schemas.openxmlformats.org/officeDocument/2006/relationships/hyperlink" Id="rId374"/>
    <Relationship TargetMode="External" Target="https://www.legis.iowa.gov/docs/iac/rule/441.75.1.pdf" Type="http://schemas.openxmlformats.org/officeDocument/2006/relationships/hyperlink" Id="rId375"/>
    <Relationship TargetMode="External" Target="https://www.legis.iowa.gov/docs/iac/rule/441.75.21.pdf" Type="http://schemas.openxmlformats.org/officeDocument/2006/relationships/hyperlink" Id="rId376"/>
    <Relationship TargetMode="External" Target="https://www.legis.iowa.gov/docs/iac/rule/441.75.21.pdf" Type="http://schemas.openxmlformats.org/officeDocument/2006/relationships/hyperlink" Id="rId377"/>
    <Relationship TargetMode="External" Target="https://www.legis.iowa.gov/docs/iac/rule/441.77.54.pdf" Type="http://schemas.openxmlformats.org/officeDocument/2006/relationships/hyperlink" Id="rId378"/>
    <Relationship TargetMode="External" Target="https://www.legis.iowa.gov/docs/iac/chapter/441.24.pdf" Type="http://schemas.openxmlformats.org/officeDocument/2006/relationships/hyperlink" Id="rId379"/>
    <Relationship TargetMode="External" Target="https://www.legis.iowa.gov/docs/iac/rule/441.77.55.pdf" Type="http://schemas.openxmlformats.org/officeDocument/2006/relationships/hyperlink" Id="rId380"/>
    <Relationship TargetMode="External" Target="https://www.legis.iowa.gov/docs/iac/chapter/481.71.pdf" Type="http://schemas.openxmlformats.org/officeDocument/2006/relationships/hyperlink" Id="rId381"/>
    <Relationship TargetMode="External" Target="https://www.legis.iowa.gov/docs/ico/chapter/249A.pdf" Type="http://schemas.openxmlformats.org/officeDocument/2006/relationships/hyperlink" Id="rId382"/>
    <Relationship TargetMode="External" Target="https://www.legis.iowa.gov/docs/iac/rule/441.78.3.pdf" Type="http://schemas.openxmlformats.org/officeDocument/2006/relationships/hyperlink" Id="rId383"/>
    <Relationship TargetMode="External" Target="https://www.legis.iowa.gov/docs/iac/rule/441.78.31.pdf" Type="http://schemas.openxmlformats.org/officeDocument/2006/relationships/hyperlink" Id="rId384"/>
    <Relationship TargetMode="External" Target="https://www.legis.iowa.gov/docs/iac/rule/441.78.27.pdf" Type="http://schemas.openxmlformats.org/officeDocument/2006/relationships/hyperlink" Id="rId385"/>
    <Relationship TargetMode="External" Target="https://www.legis.iowa.gov/docs/iac/rule/441.78.34.pdf" Type="http://schemas.openxmlformats.org/officeDocument/2006/relationships/hyperlink" Id="rId386"/>
    <Relationship TargetMode="External" Target="https://www.legis.iowa.gov/docs/iac/rule/441.78.52.pdf" Type="http://schemas.openxmlformats.org/officeDocument/2006/relationships/hyperlink" Id="rId387"/>
    <Relationship Target="footer.xml" Type="http://schemas.openxmlformats.org/officeDocument/2006/relationships/footer" Id="rId3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