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ENROLLMENT AND REENROLLMENT</w:t>
      </w:r>
    </w:p>
    <w:p>
      <w:pPr>
        <w:spacing w:before="0" w:after="0"/>
        <w:ind w:left="120"/>
        <w:jc w:val="center"/>
      </w:pPr>
      <w:r>
        <w:rPr>
          <w:rFonts w:ascii="Times New Roman" w:hAnsi="Times New Roman"/>
          <w:b w:val="false"/>
          <w:i w:val="false"/>
          <w:color w:val="000000"/>
          <w:sz w:val="14"/>
        </w:rPr>
        <w:t>[Ch 76, 1973 IDR, renumbered as Ch 911]</w:t>
      </w:r>
    </w:p>
    <w:p>
      <w:pPr>
        <w:spacing w:before="0" w:after="0"/>
        <w:ind w:left="120"/>
        <w:jc w:val="center"/>
      </w:pPr>
      <w:r>
        <w:rPr>
          <w:rFonts w:ascii="Times New Roman" w:hAnsi="Times New Roman"/>
          <w:b w:val="false"/>
          <w:i w:val="false"/>
          <w:color w:val="000000"/>
          <w:sz w:val="14"/>
        </w:rPr>
        <w:t>[Prior to 7/l/83, Social Services[770] Ch 76]</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spacing w:before="0" w:after="0"/>
        <w:ind w:left="120"/>
        <w:jc w:val="both"/>
      </w:pPr>
      <w:r>
        <w:rPr>
          <w:rFonts w:ascii="Times New Roman" w:hAnsi="Times New Roman"/>
          <w:b/>
          <w:i w:val="false"/>
          <w:color w:val="000000"/>
          <w:sz w:val="22"/>
        </w:rPr>
        <w:t>441—76.1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in addition to the definitions in rule </w:t>
      </w:r>
      <w:hyperlink r:id="rId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“the Act”</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federal Social Security Act, and all references herein are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individual or organization authorized by a competent applicant or member, authorized by a responsible person acting for an incompetent applicant or member pursuant to subrule </w:t>
      </w:r>
      <w:hyperlink r:id="rId6">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xml:space="preserve">, or with other legal authority to represent the applicant or member in the application process, the review of eligibility and other ongoing communications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 hours”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“HHS business hours”</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hours between 8 a.m. and 4:30 p.m. Central Time during a weekday (Monday through Friday), excluding public holidays.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United States Code of Federal Regulations. All references to the CFR herein are as amended to August 1, 2025, unless another effective date is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account”</w:t>
      </w:r>
      <w:r>
        <w:rPr>
          <w:rFonts w:ascii="Times New Roman" w:hAnsi="Times New Roman"/>
          <w:b w:val="false"/>
          <w:i w:val="false"/>
          <w:color w:val="000000"/>
          <w:sz w:val="22"/>
        </w:rPr>
        <w:t> </w:t>
      </w:r>
      <w:r>
        <w:rPr>
          <w:rFonts w:ascii="Times New Roman" w:hAnsi="Times New Roman"/>
          <w:b w:val="false"/>
          <w:i w:val="false"/>
          <w:color w:val="000000"/>
          <w:sz w:val="22"/>
        </w:rPr>
        <w:t>means a web-based account established by the department for an applicant or member for communication between the department and the applicant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case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electronic file that includes all information collected and generated by the department regarding each individual’s Medicaid eligibility and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date sources”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“EDS”</w:t>
      </w:r>
      <w:r>
        <w:rPr>
          <w:rFonts w:ascii="Times New Roman" w:hAnsi="Times New Roman"/>
          <w:b w:val="false"/>
          <w:i w:val="false"/>
          <w:color w:val="000000"/>
          <w:sz w:val="22"/>
        </w:rPr>
        <w:t> </w:t>
      </w:r>
      <w:r>
        <w:rPr>
          <w:rFonts w:ascii="Times New Roman" w:hAnsi="Times New Roman"/>
          <w:b w:val="false"/>
          <w:i w:val="false"/>
          <w:color w:val="000000"/>
          <w:sz w:val="22"/>
        </w:rPr>
        <w:t>means federal and state data sources with which the department conducts data matches for the purpose of determining eligibility. Federal data sources include the Internal Revenue Service (IRS), the Social Security Administration (SSA) and the United States Department of Homeland Security. State data sources include Iowa workforce development (IWD) wage and unemployment compensation, SSA, IRS, and the Public Assistance Reporting Information System (PARIS).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“Federally Facilitated Marketplace”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“FFM”</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health insurance marketplace established by the United States Secretary of Health and Human Services for states that choose not to set up their own marketplace or that do not get approval for one </w:t>
      </w:r>
      <w:r>
        <w:rPr>
          <w:rFonts w:ascii="Times New Roman" w:hAnsi="Times New Roman"/>
          <w:b w:val="false"/>
          <w:i w:val="false"/>
          <w:color w:val="000000"/>
          <w:sz w:val="22"/>
        </w:rPr>
        <w:t>pursuant to 42 U.S.C. §18041</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“Federally Facilitated Marketplace referral”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“FFM referral”</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application submitted at </w:t>
      </w:r>
      <w:hyperlink r:id="rId7">
        <w:r>
          <w:rPr>
            <w:rStyle w:val="Hyperlink"/>
            <w:rFonts w:ascii="Times New Roman" w:hAnsi="Times New Roman"/>
            <w:b w:val="false"/>
            <w:i w:val="false"/>
            <w:color w:val="000000"/>
            <w:sz w:val="22"/>
            <w:u w:val="single"/>
          </w:rPr>
          <w:t>healthcare.gov</w:t>
        </w:r>
      </w:hyperlink>
      <w:r>
        <w:rPr>
          <w:rFonts w:ascii="Times New Roman" w:hAnsi="Times New Roman"/>
          <w:b w:val="false"/>
          <w:i w:val="false"/>
          <w:color w:val="000000"/>
          <w:sz w:val="22"/>
        </w:rPr>
        <w:t xml:space="preserve"> that requests help paying for health insurance. These applications are screened by the FFM and, if found to be potentially eligible for Iowa Medicaid or hawki, are transmitted via an electronic data file to the department for a final Medicaid/hawki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insurance marketplace”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health insurance marketplace established </w:t>
      </w:r>
      <w:r>
        <w:rPr>
          <w:rFonts w:ascii="Times New Roman" w:hAnsi="Times New Roman"/>
          <w:b w:val="false"/>
          <w:i w:val="false"/>
          <w:color w:val="000000"/>
          <w:sz w:val="22"/>
        </w:rPr>
        <w:t>pursuant to 42 U.S.C. §18031</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savings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the limited Medicaid coverage groups that provide payment of Medicare premiums, coinsurance, and deductibles for low-income elderly or disabled individuals. Those groups are: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Qualified disabled and working people (QDWP)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 xml:space="preserve">(a)(10)(E)(ii);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Qualified Medicare beneficiaries (QMB)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 xml:space="preserve">(a)(10)(E)(i);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Specified low-income Medicare beneficiaries (SLMB)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 xml:space="preserve">(a)(10)(E)(iii); and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Expanded specified low-income Medicare beneficiaries (ESLMB)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 xml:space="preserve">(a)(10)(E)(iv).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organization approved by the department to conduct and authorize presumptive eligibility determinations as described in subrule </w:t>
      </w:r>
      <w:hyperlink r:id="rId8">
        <w:r>
          <w:rPr>
            <w:rStyle w:val="Hyperlink"/>
            <w:rFonts w:ascii="Times New Roman" w:hAnsi="Times New Roman"/>
            <w:b w:val="false"/>
            <w:i w:val="false"/>
            <w:color w:val="000000"/>
            <w:sz w:val="22"/>
          </w:rPr>
          <w:t>76.7(1)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under the supervision and authority of a presumptive provider, approved by the department to conduct and authorize presumptive eligibility determinations.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recognized by the department pursuant to subrule </w:t>
      </w:r>
      <w:hyperlink r:id="rId9">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 xml:space="preserve"> as acting for an applicant or member who is unable to act on the applicant’s or member’s own behalf because the applicant or member is a minor or is incompetent, incapacitated, or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federal Social Security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“Supplemental Security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“SSI”</w:t>
      </w:r>
      <w:r>
        <w:rPr>
          <w:rFonts w:ascii="Times New Roman" w:hAnsi="Times New Roman"/>
          <w:b w:val="false"/>
          <w:i w:val="false"/>
          <w:color w:val="000000"/>
          <w:sz w:val="22"/>
        </w:rPr>
        <w:t> </w:t>
      </w:r>
      <w:r>
        <w:rPr>
          <w:rFonts w:ascii="Times New Roman" w:hAnsi="Times New Roman"/>
          <w:b w:val="false"/>
          <w:i w:val="false"/>
          <w:color w:val="000000"/>
          <w:sz w:val="22"/>
        </w:rPr>
        <w:t xml:space="preserve"> is a federally administered program established by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 xml:space="preserve"> to provide supplemental income to individuals who have attained the age of 65 or are blind or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“United States Code”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“U.S.C.”</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general and permanent laws of the United States. All references to U.S.C. herein are as amended to August 1, 2025, unless another effective date is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“WIC”</w:t>
      </w:r>
      <w:r>
        <w:rPr>
          <w:rFonts w:ascii="Times New Roman" w:hAnsi="Times New Roman"/>
          <w:b w:val="false"/>
          <w:i w:val="false"/>
          <w:color w:val="000000"/>
          <w:sz w:val="22"/>
        </w:rPr>
        <w:t> </w:t>
      </w:r>
      <w:r>
        <w:rPr>
          <w:rFonts w:ascii="Times New Roman" w:hAnsi="Times New Roman"/>
          <w:b w:val="false"/>
          <w:i w:val="false"/>
          <w:color w:val="000000"/>
          <w:sz w:val="22"/>
        </w:rPr>
        <w:t xml:space="preserve">is the Special Supplemental Nutrition Program for Women, Infants, and Children established </w:t>
      </w:r>
      <w:r>
        <w:rPr>
          <w:rFonts w:ascii="Times New Roman" w:hAnsi="Times New Roman"/>
          <w:b w:val="false"/>
          <w:i w:val="false"/>
          <w:color w:val="000000"/>
          <w:sz w:val="22"/>
        </w:rPr>
        <w:t>pursuant to 42 U.S.C. §1786</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for medical assistance. </w:t>
      </w:r>
      <w:r>
        <w:rPr>
          <w:rFonts w:ascii="Times New Roman" w:hAnsi="Times New Roman"/>
          <w:b w:val="false"/>
          <w:i w:val="false"/>
          <w:color w:val="000000"/>
          <w:sz w:val="22"/>
        </w:rPr>
        <w:t>This rule describes the process of applying for medical assistance from the department. Applications for Medicaid must be made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76.2(1)</w:t>
      </w:r>
      <w:r>
        <w:rPr>
          <w:rFonts w:ascii="Times New Roman" w:hAnsi="Times New Roman"/>
          <w:b w:val="false"/>
          <w:i w:val="false"/>
          <w:color w:val="000000"/>
          <w:sz w:val="22"/>
        </w:rPr>
        <w:t> </w:t>
      </w:r>
      <w:r>
        <w:rPr>
          <w:rFonts w:ascii="Times New Roman" w:hAnsi="Times New Roman"/>
          <w:b w:val="false"/>
          <w:i/>
          <w:color w:val="000000"/>
          <w:sz w:val="22"/>
        </w:rPr>
        <w:t xml:space="preserve">Application with the department or qualified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can file. </w:t>
      </w:r>
      <w:r>
        <w:rPr>
          <w:rFonts w:ascii="Times New Roman" w:hAnsi="Times New Roman"/>
          <w:b w:val="false"/>
          <w:i w:val="false"/>
          <w:color w:val="000000"/>
          <w:sz w:val="22"/>
        </w:rPr>
        <w:t>An application may be filed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adult in the applicant’s household, as described in </w:t>
      </w:r>
      <w:r>
        <w:rPr>
          <w:rFonts w:ascii="Times New Roman" w:hAnsi="Times New Roman"/>
          <w:b w:val="false"/>
          <w:i w:val="false"/>
          <w:color w:val="000000"/>
          <w:sz w:val="22"/>
        </w:rPr>
        <w:t>42 CFR §435.603(f)</w:t>
      </w:r>
      <w:r>
        <w:rPr>
          <w:rFonts w:ascii="Times New Roman" w:hAnsi="Times New Roman"/>
          <w:b w:val="false"/>
          <w:i w:val="false"/>
          <w:color w:val="000000"/>
          <w:sz w:val="22"/>
        </w:rPr>
        <w:t xml:space="preserve">, or family, as described in </w:t>
      </w:r>
      <w:r>
        <w:rPr>
          <w:rFonts w:ascii="Times New Roman" w:hAnsi="Times New Roman"/>
          <w:b w:val="false"/>
          <w:i w:val="false"/>
          <w:color w:val="000000"/>
          <w:sz w:val="22"/>
        </w:rPr>
        <w:t>26 CFR §1.36</w:t>
      </w:r>
      <w:r>
        <w:rPr>
          <w:rFonts w:ascii="Times New Roman" w:hAnsi="Times New Roman"/>
          <w:b w:val="false"/>
          <w:i w:val="false"/>
          <w:color w:val="000000"/>
          <w:sz w:val="22"/>
        </w:rPr>
        <w:t>B-1(d),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spouse as defined in rule </w:t>
      </w:r>
      <w:hyperlink r:id="rId10">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of an applicant child, as defined in rule </w:t>
      </w:r>
      <w:hyperlink r:id="rId11">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including either parent of an unborn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caretaker of an applicant child, when the caretaker meets the requirements of rules </w:t>
      </w:r>
      <w:hyperlink r:id="rId1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and </w:t>
      </w:r>
      <w:hyperlink r:id="rId13">
        <w:r>
          <w:rPr>
            <w:rStyle w:val="Hyperlink"/>
            <w:rFonts w:ascii="Times New Roman" w:hAnsi="Times New Roman"/>
            <w:b w:val="false"/>
            <w:i w:val="false"/>
            <w:color w:val="000000"/>
            <w:sz w:val="22"/>
          </w:rPr>
          <w:t>441—75.51</w:t>
        </w:r>
      </w:hyperlink>
      <w:r>
        <w:rPr>
          <w:rFonts w:ascii="Times New Roman" w:hAnsi="Times New Roman"/>
          <w:b w:val="false"/>
          <w:i w:val="false"/>
          <w:color w:val="000000"/>
          <w:sz w:val="22"/>
        </w:rPr>
        <w:t>(249A);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tax-filer who claims the applicant as a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representative described in subrule </w:t>
      </w:r>
      <w:hyperlink r:id="rId14">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responsible person described in subrule </w:t>
      </w:r>
      <w:hyperlink r:id="rId15">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How and where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filed online on the department’s website or </w:t>
      </w:r>
      <w:hyperlink r:id="rId16">
        <w:r>
          <w:rPr>
            <w:rStyle w:val="Hyperlink"/>
            <w:rFonts w:ascii="Times New Roman" w:hAnsi="Times New Roman"/>
            <w:b w:val="false"/>
            <w:i w:val="false"/>
            <w:color w:val="000000"/>
            <w:sz w:val="22"/>
            <w:u w:val="single"/>
          </w:rPr>
          <w:t>www.healthcare.gov</w:t>
        </w:r>
      </w:hyperlink>
      <w:r>
        <w:rPr>
          <w:rFonts w:ascii="Times New Roman" w:hAnsi="Times New Roman"/>
          <w:b w:val="false"/>
          <w:i w:val="false"/>
          <w:color w:val="000000"/>
          <w:sz w:val="22"/>
        </w:rPr>
        <w:t xml:space="preserve">; at any local HHS office; or at any HHS outstation at a disproportionate share hospital, federally qualified health center in Iowa, or other facility in Iowa where outstationing activities are provided. Applications may be submitted in person, by mail, by telephone at 1.855.889.7985, or by email or fax to a local HHS office. Addresses, email addresses, and fax numbers of local HHS offices are available on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also be filed at the office of a qualified entity pursuant to subrule </w:t>
      </w:r>
      <w:hyperlink r:id="rId17">
        <w:r>
          <w:rPr>
            <w:rStyle w:val="Hyperlink"/>
            <w:rFonts w:ascii="Times New Roman" w:hAnsi="Times New Roman"/>
            <w:b w:val="false"/>
            <w:i w:val="false"/>
            <w:color w:val="000000"/>
            <w:sz w:val="22"/>
          </w:rPr>
          <w:t>76.7(2)</w:t>
        </w:r>
      </w:hyperlink>
      <w:r>
        <w:rPr>
          <w:rFonts w:ascii="Times New Roman" w:hAnsi="Times New Roman"/>
          <w:b w:val="false"/>
          <w:i w:val="false"/>
          <w:color w:val="000000"/>
          <w:sz w:val="22"/>
        </w:rPr>
        <w:t>, a WIC office, a maternal health clinic, or a well-child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Applications for Medicaid, including Medicaid applications for foster care and subsidized adoption, may be submitted on forms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application requirements. </w:t>
      </w:r>
      <w:r>
        <w:rPr>
          <w:rFonts w:ascii="Times New Roman" w:hAnsi="Times New Roman"/>
          <w:b w:val="false"/>
          <w:i w:val="false"/>
          <w:color w:val="000000"/>
          <w:sz w:val="22"/>
        </w:rPr>
        <w:t xml:space="preserve">Initial applications must contain a legible name and address and must be signed under penalty of perjury, pursuant to </w:t>
      </w:r>
      <w:r>
        <w:rPr>
          <w:rFonts w:ascii="Times New Roman" w:hAnsi="Times New Roman"/>
          <w:b w:val="false"/>
          <w:i w:val="false"/>
          <w:color w:val="000000"/>
          <w:sz w:val="22"/>
        </w:rPr>
        <w:t>42 CFR §435.907(f)</w:t>
      </w:r>
      <w:r>
        <w:rPr>
          <w:rFonts w:ascii="Times New Roman" w:hAnsi="Times New Roman"/>
          <w:b w:val="false"/>
          <w:i w:val="false"/>
          <w:color w:val="000000"/>
          <w:sz w:val="22"/>
        </w:rPr>
        <w:t xml:space="preserve">. At least one person listed in paragraph </w:t>
      </w:r>
      <w:hyperlink r:id="rId18">
        <w:r>
          <w:rPr>
            <w:rStyle w:val="Hyperlink"/>
            <w:rFonts w:ascii="Times New Roman" w:hAnsi="Times New Roman"/>
            <w:b w:val="false"/>
            <w:i w:val="false"/>
            <w:color w:val="000000"/>
            <w:sz w:val="22"/>
          </w:rPr>
          <w:t>76.2(1)</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sign the application. Electronic (including telephonically recorded) signatures and handwritten signatures (transmitted via any electronic means) are acceptable. An application that does not include a legible name, address, and signature under penalty of perjury will not be considered a valid application and will be rejected without a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is considered filed on the date a valid application is received in any place of filing specified in paragraph </w:t>
      </w:r>
      <w:hyperlink r:id="rId19">
        <w:r>
          <w:rPr>
            <w:rStyle w:val="Hyperlink"/>
            <w:rFonts w:ascii="Times New Roman" w:hAnsi="Times New Roman"/>
            <w:b w:val="false"/>
            <w:i w:val="false"/>
            <w:color w:val="000000"/>
            <w:sz w:val="22"/>
          </w:rPr>
          <w:t>76.2(1)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filing and effective date for applications received by a qualified entity for purposes of a presumptive Medicaid eligibility determination are further described in subrule </w:t>
      </w:r>
      <w:hyperlink r:id="rId20">
        <w:r>
          <w:rPr>
            <w:rStyle w:val="Hyperlink"/>
            <w:rFonts w:ascii="Times New Roman" w:hAnsi="Times New Roman"/>
            <w:b w:val="false"/>
            <w:i w:val="false"/>
            <w:color w:val="000000"/>
            <w:sz w:val="22"/>
          </w:rPr>
          <w:t>76.7(5)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honor the application date of any application filed at the FFM that is subsequently transmitted to the department for an eligibility determination as described in rule </w:t>
      </w:r>
      <w:hyperlink r:id="rId21">
        <w:r>
          <w:rPr>
            <w:rStyle w:val="Hyperlink"/>
            <w:rFonts w:ascii="Times New Roman" w:hAnsi="Times New Roman"/>
            <w:b w:val="false"/>
            <w:i w:val="false"/>
            <w:color w:val="000000"/>
            <w:sz w:val="22"/>
          </w:rPr>
          <w:t>441—76.3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The department will notify the applicant of the eligibility decision pursuant to </w:t>
      </w:r>
      <w:hyperlink r:id="rId2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441—76.3</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Referrals from the FFM. </w:t>
      </w:r>
      <w:r>
        <w:rPr>
          <w:rFonts w:ascii="Times New Roman" w:hAnsi="Times New Roman"/>
          <w:b w:val="false"/>
          <w:i w:val="false"/>
          <w:color w:val="000000"/>
          <w:sz w:val="22"/>
        </w:rPr>
        <w:t xml:space="preserve">Upon receipt of an FFM referral indicating that an application has been screened and that the applicant has been found to be potentially eligible for Medicaid or hawki, the department will treat the application as if it had been received directly by the department pursuant to rule </w:t>
      </w:r>
      <w:hyperlink r:id="rId23">
        <w:r>
          <w:rPr>
            <w:rStyle w:val="Hyperlink"/>
            <w:rFonts w:ascii="Times New Roman" w:hAnsi="Times New Roman"/>
            <w:b w:val="false"/>
            <w:i w:val="false"/>
            <w:color w:val="000000"/>
            <w:sz w:val="22"/>
          </w:rPr>
          <w:t>441—76.2</w:t>
        </w:r>
      </w:hyperlink>
      <w:r>
        <w:rPr>
          <w:rFonts w:ascii="Times New Roman" w:hAnsi="Times New Roman"/>
          <w:b w:val="false"/>
          <w:i w:val="false"/>
          <w:color w:val="000000"/>
          <w:sz w:val="22"/>
        </w:rPr>
        <w:t xml:space="preserve">(249A).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441—76.4</w:t>
      </w:r>
      <w:r>
        <w:rPr>
          <w:rFonts w:ascii="Times New Roman" w:hAnsi="Times New Roman"/>
          <w:b/>
          <w:i w:val="false"/>
          <w:color w:val="000000"/>
          <w:sz w:val="22"/>
        </w:rPr>
        <w:t xml:space="preserve">(249A) </w:t>
      </w:r>
      <w:r>
        <w:rPr>
          <w:rFonts w:ascii="Times New Roman" w:hAnsi="Times New Roman"/>
          <w:b/>
          <w:i w:val="false"/>
          <w:color w:val="000000"/>
          <w:sz w:val="22"/>
        </w:rPr>
        <w:t xml:space="preserve">Express lane eligibility. </w:t>
      </w:r>
      <w:r>
        <w:rPr>
          <w:rFonts w:ascii="Times New Roman" w:hAnsi="Times New Roman"/>
          <w:b w:val="false"/>
          <w:i w:val="false"/>
          <w:color w:val="000000"/>
          <w:sz w:val="22"/>
        </w:rPr>
        <w:t xml:space="preserve">For purposes of the initial enrollment of a child in medical assistance, the department will use express lane procedures as allowed by </w:t>
      </w:r>
      <w:r>
        <w:rPr>
          <w:rFonts w:ascii="Times New Roman" w:hAnsi="Times New Roman"/>
          <w:b w:val="false"/>
          <w:i w:val="false"/>
          <w:color w:val="000000"/>
          <w:sz w:val="22"/>
        </w:rPr>
        <w:t>42 U.S.C.</w:t>
      </w:r>
      <w:r>
        <w:rPr>
          <w:rFonts w:ascii="Times New Roman" w:hAnsi="Times New Roman"/>
          <w:b w:val="false"/>
          <w:i w:val="false"/>
          <w:color w:val="000000"/>
          <w:sz w:val="22"/>
        </w:rPr>
        <w:t>§1396a(e)(13) and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initial enrollment, the department will rely on a determination of the child’s eligibility for the Supplemental Nutrition Assistance Program (SNAP) pursuant to </w:t>
      </w:r>
      <w:hyperlink r:id="rId24">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xml:space="preserve"> as establishing that a child under the age of 19 meets all eligibility requirements established in </w:t>
      </w:r>
      <w:hyperlink r:id="rId25">
        <w:r>
          <w:rPr>
            <w:rStyle w:val="Hyperlink"/>
            <w:rFonts w:ascii="Times New Roman" w:hAnsi="Times New Roman"/>
            <w:b w:val="false"/>
            <w:i w:val="false"/>
            <w:color w:val="000000"/>
            <w:sz w:val="22"/>
          </w:rPr>
          <w:t>441—subrule 75.3(2)</w:t>
        </w:r>
      </w:hyperlink>
      <w:r>
        <w:rPr>
          <w:rFonts w:ascii="Times New Roman" w:hAnsi="Times New Roman"/>
          <w:b w:val="false"/>
          <w:i w:val="false"/>
          <w:color w:val="000000"/>
          <w:sz w:val="22"/>
        </w:rPr>
        <w:t xml:space="preserve"> except for citizenship or alienage requirements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household already includes other persons receiving Medicaid based on the use of the modified adjusted gross income (MAGI) methodology,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was previously granted express lane eligibility and the household has not had at least a two-month break in SNAP eligibility since that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76.4(2)</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express lane enrollment for a child, the child’s household must request medical assistance for the child on forms prescribed by the department. The department will send forms to the household when a child eligible for express lane enrollment is approved for SNAP pursuant to </w:t>
      </w:r>
      <w:hyperlink r:id="rId26">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An adult member of the child’s household or a child receiving SNAP benefits as head of household must sign the form and return it to the department within 30 calendar days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76.4(3)</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express lane enrollment, the child must meet the citizenship or alienage requirements of rule </w:t>
      </w:r>
      <w:hyperlink r:id="rId27">
        <w:r>
          <w:rPr>
            <w:rStyle w:val="Hyperlink"/>
            <w:rFonts w:ascii="Times New Roman" w:hAnsi="Times New Roman"/>
            <w:b w:val="false"/>
            <w:i w:val="false"/>
            <w:color w:val="000000"/>
            <w:sz w:val="22"/>
          </w:rPr>
          <w:t>441—75.11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76.4(4)</w:t>
      </w:r>
      <w:r>
        <w:rPr>
          <w:rFonts w:ascii="Times New Roman" w:hAnsi="Times New Roman"/>
          <w:b w:val="false"/>
          <w:i w:val="false"/>
          <w:color w:val="000000"/>
          <w:sz w:val="22"/>
        </w:rPr>
        <w:t> </w:t>
      </w:r>
      <w:r>
        <w:rPr>
          <w:rFonts w:ascii="Times New Roman" w:hAnsi="Times New Roman"/>
          <w:b w:val="false"/>
          <w:i w:val="false"/>
          <w:color w:val="000000"/>
          <w:sz w:val="22"/>
        </w:rPr>
        <w:t>The month of application for express lane enrollment is the month of the child’s SNAP effective date. Express lane eligibility begins on the first day of the month of the child’s SNAP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76.4(5)</w:t>
      </w:r>
      <w:r>
        <w:rPr>
          <w:rFonts w:ascii="Times New Roman" w:hAnsi="Times New Roman"/>
          <w:b w:val="false"/>
          <w:i w:val="false"/>
          <w:color w:val="000000"/>
          <w:sz w:val="22"/>
        </w:rPr>
        <w:t> </w:t>
      </w:r>
      <w:r>
        <w:rPr>
          <w:rFonts w:ascii="Times New Roman" w:hAnsi="Times New Roman"/>
          <w:b w:val="false"/>
          <w:i w:val="false"/>
          <w:color w:val="000000"/>
          <w:sz w:val="22"/>
        </w:rPr>
        <w:t>After the initial express lane enrollment, all redeterminations of medical assistance eligibility will be made without reliance on any SNAP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76.4(6)</w:t>
      </w:r>
      <w:r>
        <w:rPr>
          <w:rFonts w:ascii="Times New Roman" w:hAnsi="Times New Roman"/>
          <w:b w:val="false"/>
          <w:i w:val="false"/>
          <w:color w:val="000000"/>
          <w:sz w:val="22"/>
        </w:rPr>
        <w:t> </w:t>
      </w:r>
      <w:r>
        <w:rPr>
          <w:rFonts w:ascii="Times New Roman" w:hAnsi="Times New Roman"/>
          <w:b w:val="false"/>
          <w:i w:val="false"/>
          <w:color w:val="000000"/>
          <w:sz w:val="22"/>
        </w:rPr>
        <w:t xml:space="preserve">Retroactive enrollment is available pursuant to subrule </w:t>
      </w:r>
      <w:hyperlink r:id="rId28">
        <w:r>
          <w:rPr>
            <w:rStyle w:val="Hyperlink"/>
            <w:rFonts w:ascii="Times New Roman" w:hAnsi="Times New Roman"/>
            <w:b w:val="false"/>
            <w:i w:val="false"/>
            <w:color w:val="000000"/>
            <w:sz w:val="22"/>
          </w:rPr>
          <w:t>76.13(3)</w:t>
        </w:r>
      </w:hyperlink>
      <w:r>
        <w:rPr>
          <w:rFonts w:ascii="Times New Roman" w:hAnsi="Times New Roman"/>
          <w:b w:val="false"/>
          <w:i w:val="false"/>
          <w:color w:val="000000"/>
          <w:sz w:val="22"/>
        </w:rPr>
        <w:t xml:space="preserve"> for any of the three months before the month of the child’s SNAP effective date. The retroactive eligibility determination must be made without regard to SNAP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441—76.5</w:t>
      </w:r>
      <w:r>
        <w:rPr>
          <w:rFonts w:ascii="Times New Roman" w:hAnsi="Times New Roman"/>
          <w:b/>
          <w:i w:val="false"/>
          <w:color w:val="000000"/>
          <w:sz w:val="22"/>
        </w:rPr>
        <w:t xml:space="preserve">(249A) </w:t>
      </w:r>
      <w:r>
        <w:rPr>
          <w:rFonts w:ascii="Times New Roman" w:hAnsi="Times New Roman"/>
          <w:b/>
          <w:i w:val="false"/>
          <w:color w:val="000000"/>
          <w:sz w:val="22"/>
        </w:rPr>
        <w:t xml:space="preserve">Enrollment through SSI. </w:t>
      </w:r>
      <w:r>
        <w:rPr>
          <w:rFonts w:ascii="Times New Roman" w:hAnsi="Times New Roman"/>
          <w:b w:val="false"/>
          <w:i w:val="false"/>
          <w:color w:val="000000"/>
          <w:sz w:val="22"/>
        </w:rPr>
        <w:t>Upon receipt of a referral from the SSA indicating that an individual has been approved for SSI, the department will treat the referral as an application for medical assistance and will process the application as if received directly by the department. The SSI recipient may be required to provide additional information when necessary to determine Medicaid eligibility. The SSI recipient may be required to attend an interview to clarify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441—76.6</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Referral for Medicare savings program. </w:t>
      </w:r>
      <w:r>
        <w:rPr>
          <w:rFonts w:ascii="Times New Roman" w:hAnsi="Times New Roman"/>
          <w:b w:val="false"/>
          <w:i w:val="false"/>
          <w:color w:val="000000"/>
          <w:sz w:val="22"/>
        </w:rPr>
        <w:t xml:space="preserve">Referrals received from the SSA </w:t>
      </w:r>
      <w:r>
        <w:rPr>
          <w:rFonts w:ascii="Times New Roman" w:hAnsi="Times New Roman"/>
          <w:b w:val="false"/>
          <w:i w:val="false"/>
          <w:color w:val="000000"/>
          <w:sz w:val="22"/>
        </w:rPr>
        <w:t>pursuant to 42 U.S.C. §1320b</w:t>
      </w:r>
      <w:r>
        <w:rPr>
          <w:rFonts w:ascii="Times New Roman" w:hAnsi="Times New Roman"/>
          <w:b w:val="false"/>
          <w:i w:val="false"/>
          <w:color w:val="000000"/>
          <w:sz w:val="22"/>
        </w:rPr>
        <w:t>-14(c)(3) when the individual has indicated that the individual wants to apply for the Medicare savings program will be treated by the department as an application for the Medicare savings program and will be processed as if the application were received directly by the department. The date of the individual’s application with SSA will be the application date for benefits under the Medicare savings program. When requested to do so, the applicant must complete a Medicare Savings Programs Additional Information Request form to provide additional information needed to determine Medicare savings program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441—76.7</w:t>
      </w:r>
      <w:r>
        <w:rPr>
          <w:rFonts w:ascii="Times New Roman" w:hAnsi="Times New Roman"/>
          <w:b/>
          <w:i w:val="false"/>
          <w:color w:val="000000"/>
          <w:sz w:val="22"/>
        </w:rPr>
        <w:t xml:space="preserve">(249A) </w:t>
      </w:r>
      <w:r>
        <w:rPr>
          <w:rFonts w:ascii="Times New Roman" w:hAnsi="Times New Roman"/>
          <w:b/>
          <w:i w:val="false"/>
          <w:color w:val="000000"/>
          <w:sz w:val="22"/>
        </w:rPr>
        <w:t xml:space="preserve">Presumptive eligibility. </w:t>
      </w:r>
      <w:r>
        <w:rPr>
          <w:rFonts w:ascii="Times New Roman" w:hAnsi="Times New Roman"/>
          <w:b w:val="false"/>
          <w:i w:val="false"/>
          <w:color w:val="000000"/>
          <w:sz w:val="22"/>
        </w:rPr>
        <w:t>Persons may be temporarily and immediately enrolled in Medicaid based on a presumptive eligibility determination by a qualified entity at a presumptive provider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76.7(1)</w:t>
      </w:r>
      <w:r>
        <w:rPr>
          <w:rFonts w:ascii="Times New Roman" w:hAnsi="Times New Roman"/>
          <w:b w:val="false"/>
          <w:i w:val="false"/>
          <w:color w:val="000000"/>
          <w:sz w:val="22"/>
        </w:rPr>
        <w:t> </w:t>
      </w:r>
      <w:r>
        <w:rPr>
          <w:rFonts w:ascii="Times New Roman" w:hAnsi="Times New Roman"/>
          <w:b w:val="false"/>
          <w:i/>
          <w:color w:val="000000"/>
          <w:sz w:val="22"/>
        </w:rPr>
        <w:t xml:space="preserve">Presumptive provider. </w:t>
      </w:r>
      <w:r>
        <w:rPr>
          <w:rFonts w:ascii="Times New Roman" w:hAnsi="Times New Roman"/>
          <w:b w:val="false"/>
          <w:i w:val="false"/>
          <w:color w:val="000000"/>
          <w:sz w:val="22"/>
        </w:rPr>
        <w:t>A presumptive provider is an organization approved by the department to conduct and authorize presumptive eligibility determinations. A provider organization that seeks to be authorized to make presumptive Medicaid eligibility determinations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required self-directed policy and system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 to the department using the Application for Initial/Recertification to Be a Presumptive Provider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Read the Memorandum of Understanding with a Presumptive Provider for Presumptive Medicaid Eligibility Determinations form and agree in writing to its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Comply with the requirements outlined in Iowa’s Medicaid state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definition of “qualified provider” </w:t>
      </w:r>
      <w:r>
        <w:rPr>
          <w:rFonts w:ascii="Times New Roman" w:hAnsi="Times New Roman"/>
          <w:b w:val="false"/>
          <w:i w:val="false"/>
          <w:color w:val="000000"/>
          <w:sz w:val="22"/>
        </w:rPr>
        <w:t>pursuant to 42 U.S.C. §1396r</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Meet the definition of “qualified entity” in the following federal regulations for the category of persons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children under the age of 19, as described in </w:t>
      </w:r>
      <w:r>
        <w:rPr>
          <w:rFonts w:ascii="Times New Roman" w:hAnsi="Times New Roman"/>
          <w:b w:val="false"/>
          <w:i w:val="false"/>
          <w:color w:val="000000"/>
          <w:sz w:val="22"/>
        </w:rPr>
        <w:t>42 CFR §435.118</w:t>
      </w:r>
      <w:r>
        <w:rPr>
          <w:rFonts w:ascii="Times New Roman" w:hAnsi="Times New Roman"/>
          <w:b w:val="false"/>
          <w:i w:val="false"/>
          <w:color w:val="000000"/>
          <w:sz w:val="22"/>
        </w:rPr>
        <w:t xml:space="preserve">, the provider must meet the requirements of paragraphs (1) through (10) of the definition of “qualified entity” in </w:t>
      </w:r>
      <w:r>
        <w:rPr>
          <w:rFonts w:ascii="Times New Roman" w:hAnsi="Times New Roman"/>
          <w:b w:val="false"/>
          <w:i w:val="false"/>
          <w:color w:val="000000"/>
          <w:sz w:val="22"/>
        </w:rPr>
        <w:t>42 CFR §435.1101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pregnant women, as described in </w:t>
      </w:r>
      <w:r>
        <w:rPr>
          <w:rFonts w:ascii="Times New Roman" w:hAnsi="Times New Roman"/>
          <w:b w:val="false"/>
          <w:i w:val="false"/>
          <w:color w:val="000000"/>
          <w:sz w:val="22"/>
        </w:rPr>
        <w:t>42 CFR §435.116</w:t>
      </w:r>
      <w:r>
        <w:rPr>
          <w:rFonts w:ascii="Times New Roman" w:hAnsi="Times New Roman"/>
          <w:b w:val="false"/>
          <w:i w:val="false"/>
          <w:color w:val="000000"/>
          <w:sz w:val="22"/>
        </w:rPr>
        <w:t xml:space="preserve">, the provider must meet the requirements of </w:t>
      </w:r>
      <w:r>
        <w:rPr>
          <w:rFonts w:ascii="Times New Roman" w:hAnsi="Times New Roman"/>
          <w:b w:val="false"/>
          <w:i w:val="false"/>
          <w:color w:val="000000"/>
          <w:sz w:val="22"/>
        </w:rPr>
        <w:t>42 U.S.C. §1396r</w:t>
      </w:r>
      <w:r>
        <w:rPr>
          <w:rFonts w:ascii="Times New Roman" w:hAnsi="Times New Roman"/>
          <w:b w:val="false"/>
          <w:i w:val="false"/>
          <w:color w:val="000000"/>
          <w:sz w:val="22"/>
        </w:rPr>
        <w:t>-1(b)(2);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parents and caretakers, as described in </w:t>
      </w:r>
      <w:r>
        <w:rPr>
          <w:rFonts w:ascii="Times New Roman" w:hAnsi="Times New Roman"/>
          <w:b w:val="false"/>
          <w:i w:val="false"/>
          <w:color w:val="000000"/>
          <w:sz w:val="22"/>
        </w:rPr>
        <w:t>42 CFR §435.110</w:t>
      </w:r>
      <w:r>
        <w:rPr>
          <w:rFonts w:ascii="Times New Roman" w:hAnsi="Times New Roman"/>
          <w:b w:val="false"/>
          <w:i w:val="false"/>
          <w:color w:val="000000"/>
          <w:sz w:val="22"/>
        </w:rPr>
        <w:t xml:space="preserve">, the provider must meet the requirements in </w:t>
      </w:r>
      <w:r>
        <w:rPr>
          <w:rFonts w:ascii="Times New Roman" w:hAnsi="Times New Roman"/>
          <w:b w:val="false"/>
          <w:i w:val="false"/>
          <w:color w:val="000000"/>
          <w:sz w:val="22"/>
        </w:rPr>
        <w:t>42 CFR §435.1103(b)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aged 19 through 64, as described in </w:t>
      </w:r>
      <w:r>
        <w:rPr>
          <w:rFonts w:ascii="Times New Roman" w:hAnsi="Times New Roman"/>
          <w:b w:val="false"/>
          <w:i w:val="false"/>
          <w:color w:val="000000"/>
          <w:sz w:val="22"/>
        </w:rPr>
        <w:t>42 CFR § 435.119</w:t>
      </w:r>
      <w:r>
        <w:rPr>
          <w:rFonts w:ascii="Times New Roman" w:hAnsi="Times New Roman"/>
          <w:b w:val="false"/>
          <w:i w:val="false"/>
          <w:color w:val="000000"/>
          <w:sz w:val="22"/>
        </w:rPr>
        <w:t xml:space="preserve">, the provider must meet the requirements in </w:t>
      </w:r>
      <w:r>
        <w:rPr>
          <w:rFonts w:ascii="Times New Roman" w:hAnsi="Times New Roman"/>
          <w:b w:val="false"/>
          <w:i w:val="false"/>
          <w:color w:val="000000"/>
          <w:sz w:val="22"/>
        </w:rPr>
        <w:t>42 CFR §435.1103(b)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former foster care children, as described in </w:t>
      </w:r>
      <w:r>
        <w:rPr>
          <w:rFonts w:ascii="Times New Roman" w:hAnsi="Times New Roman"/>
          <w:b w:val="false"/>
          <w:i w:val="false"/>
          <w:color w:val="000000"/>
          <w:sz w:val="22"/>
        </w:rPr>
        <w:t>42 CFR §435.150</w:t>
      </w:r>
      <w:r>
        <w:rPr>
          <w:rFonts w:ascii="Times New Roman" w:hAnsi="Times New Roman"/>
          <w:b w:val="false"/>
          <w:i w:val="false"/>
          <w:color w:val="000000"/>
          <w:sz w:val="22"/>
        </w:rPr>
        <w:t xml:space="preserve">, the provider must meet the requirements in </w:t>
      </w:r>
      <w:r>
        <w:rPr>
          <w:rFonts w:ascii="Times New Roman" w:hAnsi="Times New Roman"/>
          <w:b w:val="false"/>
          <w:i w:val="false"/>
          <w:color w:val="000000"/>
          <w:sz w:val="22"/>
        </w:rPr>
        <w:t>42 CFR §435.1103(b)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persons needing breast or cervical cancer treatment (BCCT), as described in </w:t>
      </w:r>
      <w:r>
        <w:rPr>
          <w:rFonts w:ascii="Times New Roman" w:hAnsi="Times New Roman"/>
          <w:b w:val="false"/>
          <w:i w:val="false"/>
          <w:color w:val="000000"/>
          <w:sz w:val="22"/>
        </w:rPr>
        <w:t>42 U.S.C. §1396r</w:t>
      </w:r>
      <w:r>
        <w:rPr>
          <w:rFonts w:ascii="Times New Roman" w:hAnsi="Times New Roman"/>
          <w:b w:val="false"/>
          <w:i w:val="false"/>
          <w:color w:val="000000"/>
          <w:sz w:val="22"/>
        </w:rPr>
        <w:t>-1b(b)(2);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of the categories of persons covered in subparagraphs </w:t>
      </w:r>
      <w:hyperlink r:id="rId29">
        <w:r>
          <w:rPr>
            <w:rStyle w:val="Hyperlink"/>
            <w:rFonts w:ascii="Times New Roman" w:hAnsi="Times New Roman"/>
            <w:b w:val="false"/>
            <w:i w:val="false"/>
            <w:color w:val="000000"/>
            <w:sz w:val="22"/>
          </w:rPr>
          <w:t>76.7(1)</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(6), a qualifying hospital must meet the requirements in </w:t>
      </w:r>
      <w:r>
        <w:rPr>
          <w:rFonts w:ascii="Times New Roman" w:hAnsi="Times New Roman"/>
          <w:b w:val="false"/>
          <w:i w:val="false"/>
          <w:color w:val="000000"/>
          <w:sz w:val="22"/>
        </w:rPr>
        <w:t>42 CFR §435.1110(b)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Be recertified annually by doing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the required self-directed policy and system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Application for Initial/Recertification to Be a Presumptive Provider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Re-attest to the terms of the Provider Memorandum of Understanding by signing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76.7(2)</w:t>
      </w:r>
      <w:r>
        <w:rPr>
          <w:rFonts w:ascii="Times New Roman" w:hAnsi="Times New Roman"/>
          <w:b w:val="false"/>
          <w:i w:val="false"/>
          <w:color w:val="000000"/>
          <w:sz w:val="22"/>
        </w:rPr>
        <w:t> </w:t>
      </w:r>
      <w:r>
        <w:rPr>
          <w:rFonts w:ascii="Times New Roman" w:hAnsi="Times New Roman"/>
          <w:b w:val="false"/>
          <w:i/>
          <w:color w:val="000000"/>
          <w:sz w:val="22"/>
        </w:rPr>
        <w:t xml:space="preserve">Qualified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that seeks to be authorized to make presumptive Medicaid eligibility determinations under the supervision and authority of a presumptive provider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the required self-directed policy and system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Qualified Entity Medicaid Presumptive Eligibility Portal (MPEP) Access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Read the Provider Memorandum of Understanding and agree in writing to its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Obtain confirmation of acceptance by the department that the individual is determined by the department to be capable of making presumptive Medicaid eligibility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paragraph </w:t>
      </w:r>
      <w:hyperlink r:id="rId30">
        <w:r>
          <w:rPr>
            <w:rStyle w:val="Hyperlink"/>
            <w:rFonts w:ascii="Times New Roman" w:hAnsi="Times New Roman"/>
            <w:b w:val="false"/>
            <w:i w:val="false"/>
            <w:color w:val="000000"/>
            <w:sz w:val="22"/>
          </w:rPr>
          <w:t>76.7(2)</w:t>
        </w:r>
        <w:r>
          <w:rPr>
            <w:rFonts w:ascii="Times New Roman" w:hAnsi="Times New Roman"/>
            <w:b w:val="false"/>
            <w:i/>
            <w:color w:val="000000"/>
            <w:sz w:val="22"/>
          </w:rPr>
          <w:t>“a,”</w:t>
        </w:r>
      </w:hyperlink>
      <w:r>
        <w:rPr>
          <w:rFonts w:ascii="Times New Roman" w:hAnsi="Times New Roman"/>
          <w:b w:val="false"/>
          <w:i w:val="false"/>
          <w:color w:val="000000"/>
          <w:sz w:val="22"/>
        </w:rPr>
        <w:t xml:space="preserve"> a qualified entity for BCCT must also have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Been named lead agency for a county or regional local breast and cervical cancer early detection program under a contract with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cooperative agreement with the department under the Centers for Disease Control and Prevention National Breast and Cervical Cancer Early Detection Program established under </w:t>
      </w:r>
      <w:r>
        <w:rPr>
          <w:rFonts w:ascii="Times New Roman" w:hAnsi="Times New Roman"/>
          <w:b w:val="false"/>
          <w:i w:val="false"/>
          <w:color w:val="000000"/>
          <w:sz w:val="22"/>
        </w:rPr>
        <w:t>Title XV of the Public Health Service Act</w:t>
      </w:r>
      <w:r>
        <w:rPr>
          <w:rFonts w:ascii="Times New Roman" w:hAnsi="Times New Roman"/>
          <w:b w:val="false"/>
          <w:i w:val="false"/>
          <w:color w:val="000000"/>
          <w:sz w:val="22"/>
        </w:rPr>
        <w:t xml:space="preserve"> as amended to August 1, 2025, to receive reimbursement for providing breast or cervical cancer screening or diagnostic services to participants in the care for yourself breast and cervical cancer early detection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employees of the presumptive provider may be given the authority to make presumptive eligibility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entities are required to be recertified annually by doing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required self-directed policy and system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the Qualified Entity Medicaid Presumptive Eligibility Portal Recertification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Re-attest to the terms of the Provider Memorandum of Understanding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76.7(3)</w:t>
      </w:r>
      <w:r>
        <w:rPr>
          <w:rFonts w:ascii="Times New Roman" w:hAnsi="Times New Roman"/>
          <w:b w:val="false"/>
          <w:i w:val="false"/>
          <w:color w:val="000000"/>
          <w:sz w:val="22"/>
        </w:rPr>
        <w:t> </w:t>
      </w:r>
      <w:r>
        <w:rPr>
          <w:rFonts w:ascii="Times New Roman" w:hAnsi="Times New Roman"/>
          <w:b w:val="false"/>
          <w:i/>
          <w:color w:val="000000"/>
          <w:sz w:val="22"/>
        </w:rPr>
        <w:t xml:space="preserve">How and where to file. </w:t>
      </w:r>
      <w:r>
        <w:rPr>
          <w:rFonts w:ascii="Times New Roman" w:hAnsi="Times New Roman"/>
          <w:b w:val="false"/>
          <w:i w:val="false"/>
          <w:color w:val="000000"/>
          <w:sz w:val="22"/>
        </w:rPr>
        <w:t>An applicant for presumptive Medicaid shall complete an application with a qualified entity in one of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information in person to the qualified entity that enters the applicant’s information into the MPEP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paper application provided by the qualified entity that enters the applicant’s information into the MPEP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76.7(4)</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An individual listed in paragraph </w:t>
      </w:r>
      <w:hyperlink r:id="rId31">
        <w:r>
          <w:rPr>
            <w:rStyle w:val="Hyperlink"/>
            <w:rFonts w:ascii="Times New Roman" w:hAnsi="Times New Roman"/>
            <w:b w:val="false"/>
            <w:i w:val="false"/>
            <w:color w:val="000000"/>
            <w:sz w:val="22"/>
          </w:rPr>
          <w:t>76.2(1)</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sign the completed paper application or a printed version of the completed MPEP application. A copy of the signed application must be maintained by the qualified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76.7(5)</w:t>
      </w:r>
      <w:r>
        <w:rPr>
          <w:rFonts w:ascii="Times New Roman" w:hAnsi="Times New Roman"/>
          <w:b w:val="false"/>
          <w:i w:val="false"/>
          <w:color w:val="000000"/>
          <w:sz w:val="22"/>
        </w:rPr>
        <w:t> </w:t>
      </w:r>
      <w:r>
        <w:rPr>
          <w:rFonts w:ascii="Times New Roman" w:hAnsi="Times New Roman"/>
          <w:b w:val="false"/>
          <w:i/>
          <w:color w:val="000000"/>
          <w:sz w:val="22"/>
        </w:rPr>
        <w:t xml:space="preserve">Date of filing and effective date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determining the application date of filing for an ongoing eligibility determination, a paper application is valid only if it contains the applicant’s legible name, address, and signature under penalty of perjury and must be date-stamped on the date it is received by the qualified entity.  The date of filing as described in paragraph </w:t>
      </w:r>
      <w:hyperlink r:id="rId32">
        <w:r>
          <w:rPr>
            <w:rStyle w:val="Hyperlink"/>
            <w:rFonts w:ascii="Times New Roman" w:hAnsi="Times New Roman"/>
            <w:b w:val="false"/>
            <w:i w:val="false"/>
            <w:color w:val="000000"/>
            <w:sz w:val="22"/>
          </w:rPr>
          <w:t>76.2(2)</w:t>
        </w:r>
        <w:r>
          <w:rPr>
            <w:rFonts w:ascii="Times New Roman" w:hAnsi="Times New Roman"/>
            <w:b w:val="false"/>
            <w:i/>
            <w:color w:val="000000"/>
            <w:sz w:val="22"/>
          </w:rPr>
          <w:t>“a”</w:t>
        </w:r>
      </w:hyperlink>
      <w:r>
        <w:rPr>
          <w:rFonts w:ascii="Times New Roman" w:hAnsi="Times New Roman"/>
          <w:b w:val="false"/>
          <w:i w:val="false"/>
          <w:color w:val="000000"/>
          <w:sz w:val="22"/>
        </w:rPr>
        <w:t xml:space="preserve"> is used for purposes of determining the effective date of coverage for ongoing eligibility but does not determine the effective date of coverage for presumptive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effective date of coverage for presumptive Medicaid is the date on which a qualified entity completes the presumptive eligibility determination within the MPEP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to the qualified entity all information necessary to make a presumptive eligibility determination in the MPEP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76.7(6)</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rights. </w:t>
      </w:r>
      <w:r>
        <w:rPr>
          <w:rFonts w:ascii="Times New Roman" w:hAnsi="Times New Roman"/>
          <w:b w:val="false"/>
          <w:i w:val="false"/>
          <w:color w:val="000000"/>
          <w:sz w:val="22"/>
        </w:rPr>
        <w:t xml:space="preserve">The qualified entity shall inform the applicant of the eligibility decision as soon as possible but no later than two working days after the date the determination is made by the qualified entity. Timely and adequate notice requirements and appeal rights of the Medicaid program, including those outlined in </w:t>
      </w:r>
      <w:r>
        <w:rPr>
          <w:rFonts w:ascii="Times New Roman" w:hAnsi="Times New Roman"/>
          <w:b w:val="false"/>
          <w:i w:val="false"/>
          <w:color w:val="000000"/>
          <w:sz w:val="22"/>
        </w:rPr>
        <w:t>42 CFR Part 431, subpart E</w:t>
      </w:r>
      <w:r>
        <w:rPr>
          <w:rFonts w:ascii="Times New Roman" w:hAnsi="Times New Roman"/>
          <w:b w:val="false"/>
          <w:i w:val="false"/>
          <w:color w:val="000000"/>
          <w:sz w:val="22"/>
        </w:rPr>
        <w:t xml:space="preserve">;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do not apply to determinations of presumptive eligibility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76.7(7)</w:t>
      </w:r>
      <w:r>
        <w:rPr>
          <w:rFonts w:ascii="Times New Roman" w:hAnsi="Times New Roman"/>
          <w:b w:val="false"/>
          <w:i w:val="false"/>
          <w:color w:val="000000"/>
          <w:sz w:val="22"/>
        </w:rPr>
        <w:t> </w:t>
      </w:r>
      <w:r>
        <w:rPr>
          <w:rFonts w:ascii="Times New Roman" w:hAnsi="Times New Roman"/>
          <w:b w:val="false"/>
          <w:i/>
          <w:color w:val="000000"/>
          <w:sz w:val="22"/>
        </w:rPr>
        <w:t xml:space="preserve">Full medical assistance eligibility determination. </w:t>
      </w:r>
      <w:r>
        <w:rPr>
          <w:rFonts w:ascii="Times New Roman" w:hAnsi="Times New Roman"/>
          <w:b w:val="false"/>
          <w:i w:val="false"/>
          <w:color w:val="000000"/>
          <w:sz w:val="22"/>
        </w:rPr>
        <w:t>All presumptive eligibility applications will be given the option within the MPEP system to also receive a full determination of eligibility for Medicaid or hawki.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441—76.8</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Applicant and member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w:t>
      </w:r>
      <w:r>
        <w:rPr>
          <w:rFonts w:ascii="Times New Roman" w:hAnsi="Times New Roman"/>
          <w:b w:val="false"/>
          <w:i w:val="false"/>
          <w:color w:val="000000"/>
          <w:sz w:val="22"/>
        </w:rPr>
        <w:t> </w:t>
      </w:r>
      <w:r>
        <w:rPr>
          <w:rFonts w:ascii="Times New Roman" w:hAnsi="Times New Roman"/>
          <w:b w:val="false"/>
          <w:i/>
          <w:color w:val="000000"/>
          <w:sz w:val="22"/>
        </w:rPr>
        <w:t xml:space="preserve">Accurate information. </w:t>
      </w:r>
      <w:r>
        <w:rPr>
          <w:rFonts w:ascii="Times New Roman" w:hAnsi="Times New Roman"/>
          <w:b w:val="false"/>
          <w:i w:val="false"/>
          <w:color w:val="000000"/>
          <w:sz w:val="22"/>
        </w:rPr>
        <w:t>Clients, and those individuals acting on behalf of clients, are responsible for giving complete and accurate information needed to establish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or verification needed to determine eligibility. </w:t>
      </w:r>
      <w:r>
        <w:rPr>
          <w:rFonts w:ascii="Times New Roman" w:hAnsi="Times New Roman"/>
          <w:b w:val="false"/>
          <w:i w:val="false"/>
          <w:color w:val="000000"/>
          <w:sz w:val="22"/>
        </w:rPr>
        <w:t>An applicant or member will not be required to provide additional verifications if attested income meets the department’s standards for reasonable compatibility and if the department can verify all other required information through an EDS. If attested income does not meet the department’s standards for reasonable compatibility or if the department is not able to verify other required information through an EDS, the department will send the applicant or member a written request for the additional information or verification. The applicant or member must provide the additional information or verification by the requested due date or such application may be denied or Medicaid or hawki benefits may be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providing information or verification. </w:t>
      </w:r>
      <w:r>
        <w:rPr>
          <w:rFonts w:ascii="Times New Roman" w:hAnsi="Times New Roman"/>
          <w:b w:val="false"/>
          <w:i w:val="false"/>
          <w:color w:val="000000"/>
          <w:sz w:val="22"/>
        </w:rPr>
        <w:t>Clients have ten calendar days from the date on the written request by the department to provide additional information or verification requested. If the tenth calendar day falls on a weekend or state holiday, the individual will have until the end of business hours on the next business day to provide the information or verification. The information or verification is considered provided on the date it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76.8(4)</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The applicant or member may request an extension for a reasonable period of time when the applicant or member is making every effort but is unable to secure the required information or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76.8(5)</w:t>
      </w:r>
      <w:r>
        <w:rPr>
          <w:rFonts w:ascii="Times New Roman" w:hAnsi="Times New Roman"/>
          <w:b w:val="false"/>
          <w:i w:val="false"/>
          <w:color w:val="000000"/>
          <w:sz w:val="22"/>
        </w:rPr>
        <w:t> </w:t>
      </w:r>
      <w:r>
        <w:rPr>
          <w:rFonts w:ascii="Times New Roman" w:hAnsi="Times New Roman"/>
          <w:b w:val="false"/>
          <w:i/>
          <w:color w:val="000000"/>
          <w:sz w:val="22"/>
        </w:rPr>
        <w:t xml:space="preserve">Interviews. </w:t>
      </w:r>
      <w:r>
        <w:rPr>
          <w:rFonts w:ascii="Times New Roman" w:hAnsi="Times New Roman"/>
          <w:b w:val="false"/>
          <w:i w:val="false"/>
          <w:color w:val="000000"/>
          <w:sz w:val="22"/>
        </w:rPr>
        <w:t>Applicants and members who are being evaluated on the basis of the MAGI methodology will not be required to attend an interview. Applicants and members who are being evaluated on a basis other than the MAGI methodology may be required to attend an interview to clarify information or to resolve conflicting information. The department will not require an in-person interview as part of the application process. If applicable, the department will notify the applicant, authorized representative, or responsible person of the date, time, and method of the interview. Notification will be provided personally by telephone, email, mail, or fax.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76.8(6)</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An application will be denied or assistance will be discontinued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member does not attend a required interview, pursuant to subrule </w:t>
      </w:r>
      <w:hyperlink r:id="rId36">
        <w:r>
          <w:rPr>
            <w:rStyle w:val="Hyperlink"/>
            <w:rFonts w:ascii="Times New Roman" w:hAnsi="Times New Roman"/>
            <w:b w:val="false"/>
            <w:i w:val="false"/>
            <w:color w:val="000000"/>
            <w:sz w:val="22"/>
          </w:rPr>
          <w:t>76.8(5)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does not receive one of the following by the due date indicated on the written request for additional information in accordance with subrules </w:t>
      </w:r>
      <w:hyperlink r:id="rId37">
        <w:r>
          <w:rPr>
            <w:rStyle w:val="Hyperlink"/>
            <w:rFonts w:ascii="Times New Roman" w:hAnsi="Times New Roman"/>
            <w:b w:val="false"/>
            <w:i w:val="false"/>
            <w:color w:val="000000"/>
            <w:sz w:val="22"/>
          </w:rPr>
          <w:t>76.8(2) through 76.8(4)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verification, or a statement that reasonably explains the discrepancy;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authorization for the department to obtain the information or verification;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an extension of the due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441—76.9</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Responsible persons and 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76.9(1)</w:t>
      </w: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If an applicant or member is unable to act on the applicant’s or member’s own behalf because the applicant or member is a minor or is incompetent, incapacitated, or deceased, a responsible person may act for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8">
        <w:r>
          <w:rPr>
            <w:rStyle w:val="Hyperlink"/>
            <w:rFonts w:ascii="Times New Roman" w:hAnsi="Times New Roman"/>
            <w:b w:val="false"/>
            <w:i w:val="false"/>
            <w:color w:val="000000"/>
            <w:sz w:val="22"/>
          </w:rPr>
          <w:t>76.9(1)</w:t>
        </w:r>
      </w:hyperlink>
      <w:r>
        <w:rPr>
          <w:rFonts w:ascii="Times New Roman" w:hAnsi="Times New Roman"/>
          <w:b w:val="false"/>
          <w:i/>
          <w:color w:val="000000"/>
          <w:sz w:val="22"/>
        </w:rPr>
        <w:t>“d,”</w:t>
      </w:r>
      <w:r>
        <w:rPr>
          <w:rFonts w:ascii="Times New Roman" w:hAnsi="Times New Roman"/>
          <w:b w:val="false"/>
          <w:i w:val="false"/>
          <w:color w:val="000000"/>
          <w:sz w:val="22"/>
        </w:rPr>
        <w:t xml:space="preserve"> when the applicant or member is incompetent, incapacitated, or deceased, the responsible person shall be a family member, friend or other person who has knowledge of the applicant’s or member’s financial affairs and circumstances and has a personal interest in the applicant’s or member’s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9">
        <w:r>
          <w:rPr>
            <w:rStyle w:val="Hyperlink"/>
            <w:rFonts w:ascii="Times New Roman" w:hAnsi="Times New Roman"/>
            <w:b w:val="false"/>
            <w:i w:val="false"/>
            <w:color w:val="000000"/>
            <w:sz w:val="22"/>
          </w:rPr>
          <w:t>76.9(1)</w:t>
        </w:r>
      </w:hyperlink>
      <w:r>
        <w:rPr>
          <w:rFonts w:ascii="Times New Roman" w:hAnsi="Times New Roman"/>
          <w:b w:val="false"/>
          <w:i/>
          <w:color w:val="000000"/>
          <w:sz w:val="22"/>
        </w:rPr>
        <w:t>“d,”</w:t>
      </w:r>
      <w:r>
        <w:rPr>
          <w:rFonts w:ascii="Times New Roman" w:hAnsi="Times New Roman"/>
          <w:b w:val="false"/>
          <w:i w:val="false"/>
          <w:color w:val="000000"/>
          <w:sz w:val="22"/>
        </w:rPr>
        <w:t xml:space="preserve"> when the applicant or member is unable to act on the applicant’s or member’s own behalf solely because the applicant or member is a minor, the responsible person shall be an adult in the child’s household or family as described in paragraph </w:t>
      </w:r>
      <w:hyperlink r:id="rId40">
        <w:r>
          <w:rPr>
            <w:rStyle w:val="Hyperlink"/>
            <w:rFonts w:ascii="Times New Roman" w:hAnsi="Times New Roman"/>
            <w:b w:val="false"/>
            <w:i w:val="false"/>
            <w:color w:val="000000"/>
            <w:sz w:val="22"/>
          </w:rPr>
          <w:t>76.2(1)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person shall assume the applicant’s or member’s position and responsibilities during the application process or for ongoing eligibility. The responsible person may designate an authorized representative pursuant to subrule </w:t>
      </w:r>
      <w:hyperlink r:id="rId41">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xml:space="preserve"> to represent the applicant or member. However, the designation of an authorized representative does not relieve the responsible person from assuming the applicant’s or member’s position and responsibilities during the application process or for 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is no person as described in paragraphs </w:t>
      </w:r>
      <w:hyperlink r:id="rId42">
        <w:r>
          <w:rPr>
            <w:rStyle w:val="Hyperlink"/>
            <w:rFonts w:ascii="Times New Roman" w:hAnsi="Times New Roman"/>
            <w:b w:val="false"/>
            <w:i w:val="false"/>
            <w:color w:val="000000"/>
            <w:sz w:val="22"/>
          </w:rPr>
          <w:t>79.6(1)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hyperlink>
      <w:r>
        <w:rPr>
          <w:rFonts w:ascii="Times New Roman" w:hAnsi="Times New Roman"/>
          <w:b w:val="false"/>
          <w:i w:val="false"/>
          <w:color w:val="000000"/>
          <w:sz w:val="22"/>
        </w:rPr>
        <w:t xml:space="preserve"> to act on behalf of the minor, incompetent, incapacitated, or deceased applicant or member, any individual or organization may be allowed to act as the responsible person if the individual or organization conducts a diligent search and completes the required form, attesting to the individual’s or organization’s inability to find a responsible person to act on behalf of the minor, incompetent, incapacitated, or deceased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verification of the applicant’s or member’s incompetence or death and of the responsible person’s relationship to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correspondence the department would otherwise provide to the applicant or member will be provided to the recognized responsible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76.9(2)</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organization designated by a competent applicant or member, or by a responsible person recognized pursuant to subrule </w:t>
      </w:r>
      <w:hyperlink r:id="rId43">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 or with other legal authority to do so may act on behalf of the applicant or member in the application process, in the review process, or for 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designation of an authorized representative by an applicant, member, or responsible person must be in writing and must be signed and dated by the applicant, member, or responsible person. The applicant, member, or responsible person may authorize the representative to complete and sign an application on the applicant’s or member’s behalf, complete and submit a review form, receive copies of the applicant’s or member’s notices and other communications from the department, and act on behalf of the applicant or member in all other matters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Legal documentation of authority to act on behalf of the applicant or member under state law, such as a court order establishing legal guardianship or a power of attorney, shall serve in place of a written authorization by the applicant or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Designations of authorized representatives, legal documentation of authority to act on behalf of the applicant or member, and modifications or terminations of designations or legal authority may be submitted via the department’s website, mail, email, or fax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department will accept electronic, including telephonically recorded, signatures and handwritten signatures (including when transmitted by fax or other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Indicates the time period or dates the authorization is to cover, the stated period or dates will be honored until or unless a rescission is submitted to the department as described in subparagraph </w:t>
      </w:r>
      <w:hyperlink r:id="rId44">
        <w:r>
          <w:rPr>
            <w:rStyle w:val="Hyperlink"/>
            <w:rFonts w:ascii="Times New Roman" w:hAnsi="Times New Roman"/>
            <w:b w:val="false"/>
            <w:i w:val="false"/>
            <w:color w:val="000000"/>
            <w:sz w:val="22"/>
          </w:rPr>
          <w:t>76.9(2)</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may include subsequent applications, if necessary, that relate to the time period or dates indicated on the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indicate the time period or dates it is to cover, the authorization will be valid until the applicant, member, or responsible person modifies the authorization and notifies the department that the representative is no longer authorized to act on behalf of the applicant or member or until the authorized representative informs the department that the representative no longer is acting in such capacity. Such notice must be in writing and should include the signature of the applicant, member, responsible person, or authorized representative,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correspondence will be provided to the applicant or member and the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applicable to all authorized representatives and responsible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authorized representative or responsible person must agree to maintain, or be legally bound to maintain, the confidentiality of any information regarding an applicant or member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or staff member or volunteer of an organization serving as an authorized representative or responsible person must sign an agreement that the provider, staff member, or volunteer will adhere to the regulations in </w:t>
      </w:r>
      <w:r>
        <w:rPr>
          <w:rFonts w:ascii="Times New Roman" w:hAnsi="Times New Roman"/>
          <w:b w:val="false"/>
          <w:i w:val="false"/>
          <w:color w:val="000000"/>
          <w:sz w:val="22"/>
        </w:rPr>
        <w:t>42 CFR Part 431</w:t>
      </w:r>
      <w:r>
        <w:rPr>
          <w:rFonts w:ascii="Times New Roman" w:hAnsi="Times New Roman"/>
          <w:b w:val="false"/>
          <w:i w:val="false"/>
          <w:color w:val="000000"/>
          <w:sz w:val="22"/>
        </w:rPr>
        <w:t xml:space="preserve">, Subpart F; </w:t>
      </w:r>
      <w:r>
        <w:rPr>
          <w:rFonts w:ascii="Times New Roman" w:hAnsi="Times New Roman"/>
          <w:b w:val="false"/>
          <w:i w:val="false"/>
          <w:color w:val="000000"/>
          <w:sz w:val="22"/>
        </w:rPr>
        <w:t>45 CFR §155.260(f)</w:t>
      </w:r>
      <w:r>
        <w:rPr>
          <w:rFonts w:ascii="Times New Roman" w:hAnsi="Times New Roman"/>
          <w:b w:val="false"/>
          <w:i w:val="false"/>
          <w:color w:val="000000"/>
          <w:sz w:val="22"/>
        </w:rPr>
        <w:t xml:space="preserve"> (relating to confidentiality of information); and </w:t>
      </w:r>
      <w:r>
        <w:rPr>
          <w:rFonts w:ascii="Times New Roman" w:hAnsi="Times New Roman"/>
          <w:b w:val="false"/>
          <w:i w:val="false"/>
          <w:color w:val="000000"/>
          <w:sz w:val="22"/>
        </w:rPr>
        <w:t>42 CFR §447.10</w:t>
      </w:r>
      <w:r>
        <w:rPr>
          <w:rFonts w:ascii="Times New Roman" w:hAnsi="Times New Roman"/>
          <w:b w:val="false"/>
          <w:i w:val="false"/>
          <w:color w:val="000000"/>
          <w:sz w:val="22"/>
        </w:rPr>
        <w:t xml:space="preserve"> (relating to the prohibition against reassignment of provider claims as appropriate for a health facility or an organization acting on the facility’s behalf), as well as other relevant state and federal laws concerning conflicts of interest and confidentiality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authorized representative or responsible person is responsible for fulfilling all responsibilities encompassed within the scope of the authorized representation to the same extent as the individual the authorized representative or responsible person represents.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441—76.10</w:t>
      </w:r>
      <w:r>
        <w:rPr>
          <w:rFonts w:ascii="Times New Roman" w:hAnsi="Times New Roman"/>
          <w:b/>
          <w:i w:val="false"/>
          <w:color w:val="000000"/>
          <w:sz w:val="22"/>
        </w:rPr>
        <w:t xml:space="preserve">(249A) </w:t>
      </w:r>
      <w:r>
        <w:rPr>
          <w:rFonts w:ascii="Times New Roman" w:hAnsi="Times New Roman"/>
          <w:b/>
          <w:i w:val="false"/>
          <w:color w:val="000000"/>
          <w:sz w:val="22"/>
        </w:rPr>
        <w:t xml:space="preserve">Right to withdraw the application. </w:t>
      </w:r>
      <w:r>
        <w:rPr>
          <w:rFonts w:ascii="Times New Roman" w:hAnsi="Times New Roman"/>
          <w:b w:val="false"/>
          <w:i w:val="false"/>
          <w:color w:val="000000"/>
          <w:sz w:val="22"/>
        </w:rPr>
        <w:t xml:space="preserve">The applicant may withdraw the application at any time before the eligibility determination has been made. The applicant may request that the application be withdrawn entirely or request withdrawal for any month covered by the application process except as provided in the medically needy program in accordance with the provisions of rule </w:t>
      </w:r>
      <w:hyperlink r:id="rId45">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441—76.11</w:t>
      </w:r>
      <w:r>
        <w:rPr>
          <w:rFonts w:ascii="Times New Roman" w:hAnsi="Times New Roman"/>
          <w:b/>
          <w:i w:val="false"/>
          <w:color w:val="000000"/>
          <w:sz w:val="22"/>
        </w:rPr>
        <w:t xml:space="preserve">(249A) </w:t>
      </w:r>
      <w:r>
        <w:rPr>
          <w:rFonts w:ascii="Times New Roman" w:hAnsi="Times New Roman"/>
          <w:b/>
          <w:i w:val="false"/>
          <w:color w:val="000000"/>
          <w:sz w:val="22"/>
        </w:rPr>
        <w:t xml:space="preserve">Choice of electronic notifications. </w:t>
      </w:r>
      <w:r>
        <w:rPr>
          <w:rFonts w:ascii="Times New Roman" w:hAnsi="Times New Roman"/>
          <w:b w:val="false"/>
          <w:i w:val="false"/>
          <w:color w:val="000000"/>
          <w:sz w:val="22"/>
        </w:rPr>
        <w:t>The applicant is responsible to indicate whether notices and other communications are to be provided by the department in an electronic format through the individual’s electronic account rather than by regular mail. The applicant may change the selection at any time. Notices and other communications provided through the individual’s electronic account are deemed to be received upon the sending of an email to the individual notifying the individual of the notice or other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441—76.12</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76.12(1)</w:t>
      </w:r>
      <w:r>
        <w:rPr>
          <w:rFonts w:ascii="Times New Roman" w:hAnsi="Times New Roman"/>
          <w:b w:val="false"/>
          <w:i w:val="false"/>
          <w:color w:val="000000"/>
          <w:sz w:val="22"/>
        </w:rPr>
        <w:t> </w:t>
      </w:r>
      <w:r>
        <w:rPr>
          <w:rFonts w:ascii="Times New Roman" w:hAnsi="Times New Roman"/>
          <w:b w:val="false"/>
          <w:i/>
          <w:color w:val="000000"/>
          <w:sz w:val="22"/>
        </w:rPr>
        <w:t xml:space="preserve">Adding a new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Adding an eligible person. </w:t>
      </w:r>
      <w:r>
        <w:rPr>
          <w:rFonts w:ascii="Times New Roman" w:hAnsi="Times New Roman"/>
          <w:b w:val="false"/>
          <w:i w:val="false"/>
          <w:color w:val="000000"/>
          <w:sz w:val="22"/>
        </w:rPr>
        <w:t>For members whose eligibility is based on the MAGI methodology, a new application is not required when an eligible person is added to an existing Medicaid household. Such a person is considered to be included in the application that established eligibility for the existing household. However, in these instances, the date of application to add a person is the date the change is reported. When it is reported that a person is anticipated to enter the home, the date of application to add the person shall be no earlier than the date the person begins to live in the household or the date of report,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Adding a person previously ineligible due to a failure to cooperate. </w:t>
      </w:r>
      <w:r>
        <w:rPr>
          <w:rFonts w:ascii="Times New Roman" w:hAnsi="Times New Roman"/>
          <w:b w:val="false"/>
          <w:i w:val="false"/>
          <w:color w:val="000000"/>
          <w:sz w:val="22"/>
        </w:rPr>
        <w:t xml:space="preserve">In those instances where a person previously ineligible for Medicaid for failure to cooperate in obtaining medical support or establishing liability for support as described in </w:t>
      </w:r>
      <w:hyperlink r:id="rId46">
        <w:r>
          <w:rPr>
            <w:rStyle w:val="Hyperlink"/>
            <w:rFonts w:ascii="Times New Roman" w:hAnsi="Times New Roman"/>
            <w:b w:val="false"/>
            <w:i w:val="false"/>
            <w:color w:val="000000"/>
            <w:sz w:val="22"/>
          </w:rPr>
          <w:t>441—subrule 75.14(2)</w:t>
        </w:r>
      </w:hyperlink>
      <w:r>
        <w:rPr>
          <w:rFonts w:ascii="Times New Roman" w:hAnsi="Times New Roman"/>
          <w:b w:val="false"/>
          <w:i w:val="false"/>
          <w:color w:val="000000"/>
          <w:sz w:val="22"/>
        </w:rPr>
        <w:t xml:space="preserve"> is to be granted Medicaid benefits, the earliest month for which that person may be eligible for coverage is the month that the person takes action(s) to meet the cooperation requirements described in </w:t>
      </w:r>
      <w:hyperlink r:id="rId47">
        <w:r>
          <w:rPr>
            <w:rStyle w:val="Hyperlink"/>
            <w:rFonts w:ascii="Times New Roman" w:hAnsi="Times New Roman"/>
            <w:b w:val="false"/>
            <w:i w:val="false"/>
            <w:color w:val="000000"/>
            <w:sz w:val="22"/>
          </w:rPr>
          <w:t>441—subrule 75.14(1)</w:t>
        </w:r>
      </w:hyperlink>
      <w:r>
        <w:rPr>
          <w:rFonts w:ascii="Times New Roman" w:hAnsi="Times New Roman"/>
          <w:b w:val="false"/>
          <w:i w:val="false"/>
          <w:color w:val="000000"/>
          <w:sz w:val="22"/>
        </w:rPr>
        <w:t xml:space="preserve"> and as determined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Adding a person previously ineligible due to failure to provide a social security number. </w:t>
      </w:r>
      <w:r>
        <w:rPr>
          <w:rFonts w:ascii="Times New Roman" w:hAnsi="Times New Roman"/>
          <w:b w:val="false"/>
          <w:i w:val="false"/>
          <w:color w:val="000000"/>
          <w:sz w:val="22"/>
        </w:rPr>
        <w:t xml:space="preserve">In those instances where a person previously ineligible for Medicaid for failure to provide a social security number or proof of application for a social security number as described in rule </w:t>
      </w:r>
      <w:hyperlink r:id="rId48">
        <w:r>
          <w:rPr>
            <w:rStyle w:val="Hyperlink"/>
            <w:rFonts w:ascii="Times New Roman" w:hAnsi="Times New Roman"/>
            <w:b w:val="false"/>
            <w:i w:val="false"/>
            <w:color w:val="000000"/>
            <w:sz w:val="22"/>
          </w:rPr>
          <w:t>441—75.9</w:t>
        </w:r>
      </w:hyperlink>
      <w:r>
        <w:rPr>
          <w:rFonts w:ascii="Times New Roman" w:hAnsi="Times New Roman"/>
          <w:b w:val="false"/>
          <w:i w:val="false"/>
          <w:color w:val="000000"/>
          <w:sz w:val="22"/>
        </w:rPr>
        <w:t>(249A) is to be granted Medicaid benefits, the person will be granted Medicaid benefits effective the first of the month in which the person becomes eligible by providing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76.12(2)</w:t>
      </w:r>
      <w:r>
        <w:rPr>
          <w:rFonts w:ascii="Times New Roman" w:hAnsi="Times New Roman"/>
          <w:b w:val="false"/>
          <w:i w:val="false"/>
          <w:color w:val="000000"/>
          <w:sz w:val="22"/>
        </w:rPr>
        <w:t> </w:t>
      </w:r>
      <w:r>
        <w:rPr>
          <w:rFonts w:ascii="Times New Roman" w:hAnsi="Times New Roman"/>
          <w:b w:val="false"/>
          <w:i/>
          <w:color w:val="000000"/>
          <w:sz w:val="22"/>
        </w:rPr>
        <w:t xml:space="preserve">Loss of hawki eligibility. </w:t>
      </w:r>
      <w:r>
        <w:rPr>
          <w:rFonts w:ascii="Times New Roman" w:hAnsi="Times New Roman"/>
          <w:b w:val="false"/>
          <w:i w:val="false"/>
          <w:color w:val="000000"/>
          <w:sz w:val="22"/>
        </w:rPr>
        <w:t>In those instances where a child loses hawki eligibility and has been determined eligible for Medicaid, with no break in coverage, an application for Medicaid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76.12(3)</w:t>
      </w: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 application. </w:t>
      </w:r>
      <w:r>
        <w:rPr>
          <w:rFonts w:ascii="Times New Roman" w:hAnsi="Times New Roman"/>
          <w:b w:val="false"/>
          <w:i w:val="false"/>
          <w:color w:val="000000"/>
          <w:sz w:val="22"/>
        </w:rPr>
        <w:t>If benefits are denied for failure to provide requested information or verification and the information or verification is provided within 14 calendar days of the effective date of the denial, the department will complete the eligibility determination as though the information were timely received. If the fourteenth calendar day falls on a weekend or state holiday, the applicant shall have until the end of business hours on the next business day to provide the information. The grace period does not apply to late payment of premiums or noncooperation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 reinstatement after cancellation (including cancellation at the time of reenrollment). </w:t>
      </w:r>
      <w:r>
        <w:rPr>
          <w:rFonts w:ascii="Times New Roman" w:hAnsi="Times New Roman"/>
          <w:b w:val="false"/>
          <w:i w:val="false"/>
          <w:color w:val="000000"/>
          <w:sz w:val="22"/>
        </w:rPr>
        <w:t>Eligibility for Medicaid may be reinstated without a new application when all information necessary to establish eligibility, including verification of any changes, is provided within 14 calendar days of the effective date of the cancellation. If the fourteenth calendar day falls on a weekend or state holiday, the member shall have until the end of business hours on the next business day to provide the information. The grace period does not apply to late payment of premiums or noncooperation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441—76.13</w:t>
      </w:r>
      <w:r>
        <w:rPr>
          <w:rFonts w:ascii="Times New Roman" w:hAnsi="Times New Roman"/>
          <w:b/>
          <w:i w:val="false"/>
          <w:color w:val="000000"/>
          <w:sz w:val="22"/>
        </w:rPr>
        <w:t xml:space="preserve">(249A) </w:t>
      </w:r>
      <w:r>
        <w:rPr>
          <w:rFonts w:ascii="Times New Roman" w:hAnsi="Times New Roman"/>
          <w:b/>
          <w:i w:val="false"/>
          <w:color w:val="000000"/>
          <w:sz w:val="22"/>
        </w:rPr>
        <w:t xml:space="preserve">Initial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76.13(1)</w:t>
      </w:r>
      <w:r>
        <w:rPr>
          <w:rFonts w:ascii="Times New Roman" w:hAnsi="Times New Roman"/>
          <w:b w:val="false"/>
          <w:i w:val="false"/>
          <w:color w:val="000000"/>
          <w:sz w:val="22"/>
        </w:rPr>
        <w:t> </w:t>
      </w:r>
      <w:r>
        <w:rPr>
          <w:rFonts w:ascii="Times New Roman" w:hAnsi="Times New Roman"/>
          <w:b w:val="false"/>
          <w:i/>
          <w:color w:val="000000"/>
          <w:sz w:val="22"/>
        </w:rPr>
        <w:t xml:space="preserve">Enrollment date. </w:t>
      </w:r>
      <w:r>
        <w:rPr>
          <w:rFonts w:ascii="Times New Roman" w:hAnsi="Times New Roman"/>
          <w:b w:val="false"/>
          <w:i w:val="false"/>
          <w:color w:val="000000"/>
          <w:sz w:val="22"/>
        </w:rPr>
        <w:t>The department will enroll applicants who have been determined to be eligible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day of the month. </w:t>
      </w:r>
      <w:r>
        <w:rPr>
          <w:rFonts w:ascii="Times New Roman" w:hAnsi="Times New Roman"/>
          <w:b w:val="false"/>
          <w:i w:val="false"/>
          <w:color w:val="000000"/>
          <w:sz w:val="22"/>
        </w:rPr>
        <w:t xml:space="preserve">The effective date of enrollment is the first day of the month that the application was filed or the first day of the first month for which eligibility has been determined, whichever is later, with the following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Presumptive eligibility is effective on the date that presumptive eligibility was determined by a qualified entity for presumptive Medicaid eligibility determinations pursuant to subrule </w:t>
      </w:r>
      <w:hyperlink r:id="rId49">
        <w:r>
          <w:rPr>
            <w:rStyle w:val="Hyperlink"/>
            <w:rFonts w:ascii="Times New Roman" w:hAnsi="Times New Roman"/>
            <w:b w:val="false"/>
            <w:i w:val="false"/>
            <w:color w:val="000000"/>
            <w:sz w:val="22"/>
          </w:rPr>
          <w:t>76.7(5)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under the qualified Medicare beneficiary coverage group described in </w:t>
      </w:r>
      <w:hyperlink r:id="rId50">
        <w:r>
          <w:rPr>
            <w:rStyle w:val="Hyperlink"/>
            <w:rFonts w:ascii="Times New Roman" w:hAnsi="Times New Roman"/>
            <w:b w:val="false"/>
            <w:i w:val="false"/>
            <w:color w:val="000000"/>
            <w:sz w:val="22"/>
          </w:rPr>
          <w:t>441—paragraph 75.6(5)</w:t>
        </w:r>
        <w:r>
          <w:rPr>
            <w:rFonts w:ascii="Times New Roman" w:hAnsi="Times New Roman"/>
            <w:b w:val="false"/>
            <w:i/>
            <w:color w:val="000000"/>
            <w:sz w:val="22"/>
          </w:rPr>
          <w:t>“a”</w:t>
        </w:r>
      </w:hyperlink>
      <w:r>
        <w:rPr>
          <w:rFonts w:ascii="Times New Roman" w:hAnsi="Times New Roman"/>
          <w:b w:val="false"/>
          <w:i w:val="false"/>
          <w:color w:val="000000"/>
          <w:sz w:val="22"/>
        </w:rPr>
        <w:t xml:space="preserve"> begins on the first day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individuals who are approved for Medicaid and who are eligible for SSI, programs related to SSI, or state supplementary assistance, Medicaid benefits will be effective on the first day of the month for which the individual meets all eligibility requirements, including resource eligibility, as of the first moment of the first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enrollment date for retroactive Medicaid eligibility is determined pursuant to subrule </w:t>
      </w:r>
      <w:hyperlink r:id="rId51">
        <w:r>
          <w:rPr>
            <w:rStyle w:val="Hyperlink"/>
            <w:rFonts w:ascii="Times New Roman" w:hAnsi="Times New Roman"/>
            <w:b w:val="false"/>
            <w:i w:val="false"/>
            <w:color w:val="000000"/>
            <w:sz w:val="22"/>
          </w:rPr>
          <w:t>76.13(3)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 or services prior to enrollment. </w:t>
      </w:r>
      <w:r>
        <w:rPr>
          <w:rFonts w:ascii="Times New Roman" w:hAnsi="Times New Roman"/>
          <w:b w:val="false"/>
          <w:i w:val="false"/>
          <w:color w:val="000000"/>
          <w:sz w:val="22"/>
        </w:rPr>
        <w:t>No payment will be made for medical care or services received prior to the effective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76.13(2)</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services. </w:t>
      </w:r>
      <w:r>
        <w:rPr>
          <w:rFonts w:ascii="Times New Roman" w:hAnsi="Times New Roman"/>
          <w:b w:val="false"/>
          <w:i w:val="false"/>
          <w:color w:val="000000"/>
          <w:sz w:val="22"/>
        </w:rPr>
        <w:t>The department will issue a medical assistance eligibility card to persons who have been determined to be eligible for the benefits provided under the Medicaid program,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w:t>
      </w:r>
      <w:r>
        <w:rPr>
          <w:rFonts w:ascii="Times New Roman" w:hAnsi="Times New Roman"/>
          <w:b w:val="false"/>
          <w:i w:val="false"/>
          <w:color w:val="000000"/>
          <w:sz w:val="22"/>
        </w:rPr>
        <w:t>A person who has been determined only presumptively eligible will be issued a Presumptive Medicaid Eligibility Notice of Action form that will include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Medicaid for noncitizens. </w:t>
      </w:r>
      <w:r>
        <w:rPr>
          <w:rFonts w:ascii="Times New Roman" w:hAnsi="Times New Roman"/>
          <w:b w:val="false"/>
          <w:i w:val="false"/>
          <w:color w:val="000000"/>
          <w:sz w:val="22"/>
        </w:rPr>
        <w:t xml:space="preserve">An individual who is eligible only for limited emergency Medicaid for noncitizens pursuant to </w:t>
      </w:r>
      <w:hyperlink r:id="rId52">
        <w:r>
          <w:rPr>
            <w:rStyle w:val="Hyperlink"/>
            <w:rFonts w:ascii="Times New Roman" w:hAnsi="Times New Roman"/>
            <w:b w:val="false"/>
            <w:i w:val="false"/>
            <w:color w:val="000000"/>
            <w:sz w:val="22"/>
          </w:rPr>
          <w:t>441—subrule 75.11(4)</w:t>
        </w:r>
      </w:hyperlink>
      <w:r>
        <w:rPr>
          <w:rFonts w:ascii="Times New Roman" w:hAnsi="Times New Roman"/>
          <w:b w:val="false"/>
          <w:i w:val="false"/>
          <w:color w:val="000000"/>
          <w:sz w:val="22"/>
        </w:rPr>
        <w:t xml:space="preserve"> will be issued a Notice of Action that will include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76.13(3)</w:t>
      </w:r>
      <w:r>
        <w:rPr>
          <w:rFonts w:ascii="Times New Roman" w:hAnsi="Times New Roman"/>
          <w:b w:val="false"/>
          <w:i w:val="false"/>
          <w:color w:val="000000"/>
          <w:sz w:val="22"/>
        </w:rPr>
        <w:t> </w:t>
      </w:r>
      <w:r>
        <w:rPr>
          <w:rFonts w:ascii="Times New Roman" w:hAnsi="Times New Roman"/>
          <w:b w:val="false"/>
          <w:i/>
          <w:color w:val="000000"/>
          <w:sz w:val="22"/>
        </w:rPr>
        <w:t xml:space="preserve">Retroactive enrollment. </w:t>
      </w:r>
      <w:r>
        <w:rPr>
          <w:rFonts w:ascii="Times New Roman" w:hAnsi="Times New Roman"/>
          <w:b w:val="false"/>
          <w:i w:val="false"/>
          <w:color w:val="000000"/>
          <w:sz w:val="22"/>
        </w:rPr>
        <w:t xml:space="preserve">Medical assistance will be available for all or any of the three months preceding the month in which an application is filed to persons who meet the requirements described within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53">
        <w:r>
          <w:rPr>
            <w:rStyle w:val="Hyperlink"/>
            <w:rFonts w:ascii="Times New Roman" w:hAnsi="Times New Roman"/>
            <w:b w:val="false"/>
            <w:i w:val="false"/>
            <w:color w:val="000000"/>
            <w:sz w:val="22"/>
          </w:rPr>
          <w:t>76.13(3)</w:t>
        </w:r>
      </w:hyperlink>
      <w:r>
        <w:rPr>
          <w:rFonts w:ascii="Times New Roman" w:hAnsi="Times New Roman"/>
          <w:b w:val="false"/>
          <w:i/>
          <w:color w:val="000000"/>
          <w:sz w:val="22"/>
        </w:rPr>
        <w:t>“e,”</w:t>
      </w:r>
      <w:r>
        <w:rPr>
          <w:rFonts w:ascii="Times New Roman" w:hAnsi="Times New Roman"/>
          <w:b w:val="false"/>
          <w:i w:val="false"/>
          <w:color w:val="000000"/>
          <w:sz w:val="22"/>
        </w:rPr>
        <w:t xml:space="preserve"> retroactive medical assistance will be available for the months a person was pregnant, an infant (under the age of 1), a child under 19 years of age, or a resident of a nursing facility licensed under Iowa Code chapter </w:t>
      </w:r>
      <w:hyperlink r:id="rId5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during any of the three months preceding the month in which an application is filed and who also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medical bills for covered care or services received during the three-month retroactive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Would have been eligible for medical assistance in the month services were received if the application for medical assistance had been made in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need not be eligible in the month of application to be eligible in any of the three months prior to the month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Retroactive medical assistance will be made available when an application has been made on behalf of a deceased person if the conditions in paragraph </w:t>
      </w:r>
      <w:hyperlink r:id="rId55">
        <w:r>
          <w:rPr>
            <w:rStyle w:val="Hyperlink"/>
            <w:rFonts w:ascii="Times New Roman" w:hAnsi="Times New Roman"/>
            <w:b w:val="false"/>
            <w:i w:val="false"/>
            <w:color w:val="000000"/>
            <w:sz w:val="22"/>
          </w:rPr>
          <w:t>76.13(3)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enrolled in Medicaid based on receipt of SSI benefits who wish to apply for Medicaid benefits for the three months preceding the month of application shall complete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Exceptions to retroactive enrollment. This subrule does not apply to the following persons who are otherwise eligible for retroactive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whose citizenship status has not been verified even if they are eligible during a 90-day reasonable opportunity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determined eligible only under presumptive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eligible for Medicaid only under the qualified Medicare beneficiary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eligible only under the home- and community-based waiver services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441—76.14</w:t>
      </w:r>
      <w:r>
        <w:rPr>
          <w:rFonts w:ascii="Times New Roman" w:hAnsi="Times New Roman"/>
          <w:b/>
          <w:i w:val="false"/>
          <w:color w:val="000000"/>
          <w:sz w:val="22"/>
        </w:rPr>
        <w:t xml:space="preserve">(249A) </w:t>
      </w:r>
      <w:r>
        <w:rPr>
          <w:rFonts w:ascii="Times New Roman" w:hAnsi="Times New Roman"/>
          <w:b/>
          <w:i w:val="false"/>
          <w:color w:val="000000"/>
          <w:sz w:val="22"/>
        </w:rPr>
        <w:t xml:space="preserve">Reenrollment. </w:t>
      </w:r>
      <w:r>
        <w:rPr>
          <w:rFonts w:ascii="Times New Roman" w:hAnsi="Times New Roman"/>
          <w:b w:val="false"/>
          <w:i w:val="false"/>
          <w:color w:val="000000"/>
          <w:sz w:val="22"/>
        </w:rPr>
        <w:t xml:space="preserve">The department will review all conditions of eligibility for the purpose of determining continued enrollment in Medicaid pursuant to </w:t>
      </w:r>
      <w:hyperlink r:id="rId5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76.14(1)</w:t>
      </w:r>
      <w:r>
        <w:rPr>
          <w:rFonts w:ascii="Times New Roman" w:hAnsi="Times New Roman"/>
          <w:b w:val="false"/>
          <w:i w:val="false"/>
          <w:color w:val="000000"/>
          <w:sz w:val="22"/>
        </w:rPr>
        <w:t> </w:t>
      </w:r>
      <w:r>
        <w:rPr>
          <w:rFonts w:ascii="Times New Roman" w:hAnsi="Times New Roman"/>
          <w:b w:val="false"/>
          <w:i/>
          <w:color w:val="000000"/>
          <w:sz w:val="22"/>
        </w:rPr>
        <w:t xml:space="preserve">Reenrollment frequency.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conduct eligibility reviews for members whose eligibility is based on the MAGI methodology once every 12 months and no more frequently than once every 12 months, except as provided by rule </w:t>
      </w:r>
      <w:hyperlink r:id="rId57">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 xml:space="preserve">(249A) and paragraph </w:t>
      </w:r>
      <w:hyperlink r:id="rId58">
        <w:r>
          <w:rPr>
            <w:rStyle w:val="Hyperlink"/>
            <w:rFonts w:ascii="Times New Roman" w:hAnsi="Times New Roman"/>
            <w:b w:val="false"/>
            <w:i w:val="false"/>
            <w:color w:val="000000"/>
            <w:sz w:val="22"/>
          </w:rPr>
          <w:t>76.14(1)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eligibility reviews for the following coverage groups as circumstances indicate but no more frequently than once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Medicaid as described in </w:t>
      </w:r>
      <w:hyperlink r:id="rId59">
        <w:r>
          <w:rPr>
            <w:rStyle w:val="Hyperlink"/>
            <w:rFonts w:ascii="Times New Roman" w:hAnsi="Times New Roman"/>
            <w:b w:val="false"/>
            <w:i w:val="false"/>
            <w:color w:val="000000"/>
            <w:sz w:val="22"/>
          </w:rPr>
          <w:t>441—subrule 75.3(6)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for former foster care youth (EMIYA) as described in </w:t>
      </w:r>
      <w:hyperlink r:id="rId60">
        <w:r>
          <w:rPr>
            <w:rStyle w:val="Hyperlink"/>
            <w:rFonts w:ascii="Times New Roman" w:hAnsi="Times New Roman"/>
            <w:b w:val="false"/>
            <w:i w:val="false"/>
            <w:color w:val="000000"/>
            <w:sz w:val="22"/>
          </w:rPr>
          <w:t>441—subrule 75.3(12)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Postpartum Medicaid as described in </w:t>
      </w:r>
      <w:hyperlink r:id="rId61">
        <w:r>
          <w:rPr>
            <w:rStyle w:val="Hyperlink"/>
            <w:rFonts w:ascii="Times New Roman" w:hAnsi="Times New Roman"/>
            <w:b w:val="false"/>
            <w:i w:val="false"/>
            <w:color w:val="000000"/>
            <w:sz w:val="22"/>
          </w:rPr>
          <w:t>441—subrule 75.3(4)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conduct eligibility reviews for members whose eligibility is based on non-MAGI methodology once every 12 months and no more frequently than once every 12 months, except as provided in rule </w:t>
      </w:r>
      <w:hyperlink r:id="rId62">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 xml:space="preserve">(249A) and paragraph </w:t>
      </w:r>
      <w:hyperlink r:id="rId63">
        <w:r>
          <w:rPr>
            <w:rStyle w:val="Hyperlink"/>
            <w:rFonts w:ascii="Times New Roman" w:hAnsi="Times New Roman"/>
            <w:b w:val="false"/>
            <w:i w:val="false"/>
            <w:color w:val="000000"/>
            <w:sz w:val="22"/>
          </w:rPr>
          <w:t>76.14(1)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76.14(2)</w:t>
      </w:r>
      <w:r>
        <w:rPr>
          <w:rFonts w:ascii="Times New Roman" w:hAnsi="Times New Roman"/>
          <w:b w:val="false"/>
          <w:i w:val="false"/>
          <w:color w:val="000000"/>
          <w:sz w:val="22"/>
        </w:rPr>
        <w:t> </w:t>
      </w:r>
      <w:r>
        <w:rPr>
          <w:rFonts w:ascii="Times New Roman" w:hAnsi="Times New Roman"/>
          <w:b w:val="false"/>
          <w:i/>
          <w:color w:val="000000"/>
          <w:sz w:val="22"/>
        </w:rPr>
        <w:t xml:space="preserve">Reenrollment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Reenrollment procedure. </w:t>
      </w:r>
      <w:r>
        <w:rPr>
          <w:rFonts w:ascii="Times New Roman" w:hAnsi="Times New Roman"/>
          <w:b w:val="false"/>
          <w:i w:val="false"/>
          <w:color w:val="000000"/>
          <w:sz w:val="22"/>
        </w:rPr>
        <w:t xml:space="preserve">Reenrollment will be based on reliable information contained in the member’s electronic case record or other more current information available to the department, including but not limited to information through EDS. If the department is able to renew eligibility based on such information, the department must notify the individual of the eligibility determination and the basis of that determination. If any information in that notification form is inaccurate, the member must inform the department through any of the modes permitted for submission of an application under paragraph </w:t>
      </w:r>
      <w:hyperlink r:id="rId64">
        <w:r>
          <w:rPr>
            <w:rStyle w:val="Hyperlink"/>
            <w:rFonts w:ascii="Times New Roman" w:hAnsi="Times New Roman"/>
            <w:b w:val="false"/>
            <w:i w:val="false"/>
            <w:color w:val="000000"/>
            <w:sz w:val="22"/>
          </w:rPr>
          <w:t>76.2(1)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Members whose eligibility for Medicaid is based on the MAGI methodology. </w:t>
      </w:r>
      <w:r>
        <w:rPr>
          <w:rFonts w:ascii="Times New Roman" w:hAnsi="Times New Roman"/>
          <w:b w:val="false"/>
          <w:i w:val="false"/>
          <w:color w:val="000000"/>
          <w:sz w:val="22"/>
        </w:rPr>
        <w:t>If eligibility cannot be determined based on information in the member’s electronic case record or other more current information available to the department, including but not limited to information through EDS, the member will be provided with a prepopulated review form and will have at least 30 days from the date the review form is mailed to complete necessary information, sign, and return the completed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Members whose eligibility for Medicaid is in non-MAGI related coverage groups. </w:t>
      </w:r>
      <w:r>
        <w:rPr>
          <w:rFonts w:ascii="Times New Roman" w:hAnsi="Times New Roman"/>
          <w:b w:val="false"/>
          <w:i w:val="false"/>
          <w:color w:val="000000"/>
          <w:sz w:val="22"/>
        </w:rPr>
        <w:t>If eligibility cannot be determined based on information in the member’s electronic case record or other more current information available to the department, including but not limited to information through EDS, the member will be provided with a prepopulated review form and will have at least 30 days from the date the review form is mailed to complete necessary information, sign, and return the completed review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Failure to reenroll. </w:t>
      </w:r>
      <w:r>
        <w:rPr>
          <w:rFonts w:ascii="Times New Roman" w:hAnsi="Times New Roman"/>
          <w:b w:val="false"/>
          <w:i w:val="false"/>
          <w:color w:val="000000"/>
          <w:sz w:val="22"/>
        </w:rPr>
        <w:t xml:space="preserve">Enrollment will end when information or documentation necessary to complete the determination of continued eligibility pursuant to subrules </w:t>
      </w:r>
      <w:hyperlink r:id="rId65">
        <w:r>
          <w:rPr>
            <w:rStyle w:val="Hyperlink"/>
            <w:rFonts w:ascii="Times New Roman" w:hAnsi="Times New Roman"/>
            <w:b w:val="false"/>
            <w:i w:val="false"/>
            <w:color w:val="000000"/>
            <w:sz w:val="22"/>
          </w:rPr>
          <w:t>76.8(2) through 76.8(4)</w:t>
        </w:r>
      </w:hyperlink>
      <w:r>
        <w:rPr>
          <w:rFonts w:ascii="Times New Roman" w:hAnsi="Times New Roman"/>
          <w:b w:val="false"/>
          <w:i w:val="false"/>
          <w:color w:val="000000"/>
          <w:sz w:val="22"/>
        </w:rPr>
        <w:t xml:space="preserve"> is not returned before the end of the enrollment period. The department will notify the member of the disenrollment pursuant to </w:t>
      </w:r>
      <w:hyperlink r:id="rId6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Individuals whose eligibility ends must reapply unless the individual satisfies the requirements of subrule </w:t>
      </w:r>
      <w:hyperlink r:id="rId67">
        <w:r>
          <w:rPr>
            <w:rStyle w:val="Hyperlink"/>
            <w:rFonts w:ascii="Times New Roman" w:hAnsi="Times New Roman"/>
            <w:b w:val="false"/>
            <w:i w:val="false"/>
            <w:color w:val="000000"/>
            <w:sz w:val="22"/>
          </w:rPr>
          <w:t>76.12(3)</w:t>
        </w:r>
      </w:hyperlink>
      <w:r>
        <w:rPr>
          <w:rFonts w:ascii="Times New Roman" w:hAnsi="Times New Roman"/>
          <w:b w:val="false"/>
          <w:i w:val="false"/>
          <w:color w:val="000000"/>
          <w:sz w:val="22"/>
        </w:rPr>
        <w:t xml:space="preserve"> or paragraph </w:t>
      </w:r>
      <w:hyperlink r:id="rId68">
        <w:r>
          <w:rPr>
            <w:rStyle w:val="Hyperlink"/>
            <w:rFonts w:ascii="Times New Roman" w:hAnsi="Times New Roman"/>
            <w:b w:val="false"/>
            <w:i w:val="false"/>
            <w:color w:val="000000"/>
            <w:sz w:val="22"/>
          </w:rPr>
          <w:t>76.14(2)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coverage groups, except those specified  in subparagraph </w:t>
      </w:r>
      <w:hyperlink r:id="rId69">
        <w:r>
          <w:rPr>
            <w:rStyle w:val="Hyperlink"/>
            <w:rFonts w:ascii="Times New Roman" w:hAnsi="Times New Roman"/>
            <w:b w:val="false"/>
            <w:i w:val="false"/>
            <w:color w:val="000000"/>
            <w:sz w:val="22"/>
          </w:rPr>
          <w:t>76.14(2)</w:t>
        </w:r>
      </w:hyperlink>
      <w:r>
        <w:rPr>
          <w:rFonts w:ascii="Times New Roman" w:hAnsi="Times New Roman"/>
          <w:b w:val="false"/>
          <w:i/>
          <w:color w:val="000000"/>
          <w:sz w:val="22"/>
        </w:rPr>
        <w:t>“e”</w:t>
      </w:r>
      <w:r>
        <w:rPr>
          <w:rFonts w:ascii="Times New Roman" w:hAnsi="Times New Roman"/>
          <w:b w:val="false"/>
          <w:i w:val="false"/>
          <w:color w:val="000000"/>
          <w:sz w:val="22"/>
        </w:rPr>
        <w:t xml:space="preserve">(2), the department will reconsider the eligibility of an individual who is terminated for failure to submit the applicable review form as described in paragraph </w:t>
      </w:r>
      <w:hyperlink r:id="rId70">
        <w:r>
          <w:rPr>
            <w:rStyle w:val="Hyperlink"/>
            <w:rFonts w:ascii="Times New Roman" w:hAnsi="Times New Roman"/>
            <w:b w:val="false"/>
            <w:i w:val="false"/>
            <w:color w:val="000000"/>
            <w:sz w:val="22"/>
          </w:rPr>
          <w:t>76.14(2)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or for failure to provide necessary information  in a timely manner and without requiring an application if the individual subsequently submits a review form within 90 days after the effective date of termination. The department will also reconsider eligibility as described in this subparagraph if the member provides an application form. If the ninetieth calendar day falls on a weekend or state holiday, the member shall have until the end of business hours on the next business day to provide the review form. The eligibility effective date will go back to the first day of the first month of ineligibility only if all other eligibility criteria are met for that month. Eligibility for subsequent months within the reconsideration period can still be determined even if the applicant remains ineligible for the initial reconsideration month(s), but eligibility will not be granted any earlier than the month in which all eligibility criteria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qualified Medicare beneficiaries (QMB), the provisions in subparagraph </w:t>
      </w:r>
      <w:hyperlink r:id="rId71">
        <w:r>
          <w:rPr>
            <w:rStyle w:val="Hyperlink"/>
            <w:rFonts w:ascii="Times New Roman" w:hAnsi="Times New Roman"/>
            <w:b w:val="false"/>
            <w:i w:val="false"/>
            <w:color w:val="000000"/>
            <w:sz w:val="22"/>
          </w:rPr>
          <w:t>76.14(2)</w:t>
        </w:r>
      </w:hyperlink>
      <w:r>
        <w:rPr>
          <w:rFonts w:ascii="Times New Roman" w:hAnsi="Times New Roman"/>
          <w:b w:val="false"/>
          <w:i/>
          <w:color w:val="000000"/>
          <w:sz w:val="22"/>
        </w:rPr>
        <w:t>“e”</w:t>
      </w:r>
      <w:r>
        <w:rPr>
          <w:rFonts w:ascii="Times New Roman" w:hAnsi="Times New Roman"/>
          <w:b w:val="false"/>
          <w:i w:val="false"/>
          <w:color w:val="000000"/>
          <w:sz w:val="22"/>
        </w:rPr>
        <w:t xml:space="preserve">(1) apply, except that the review form as described at lettered paragraph </w:t>
      </w:r>
      <w:hyperlink r:id="rId72">
        <w:r>
          <w:rPr>
            <w:rStyle w:val="Hyperlink"/>
            <w:rFonts w:ascii="Times New Roman" w:hAnsi="Times New Roman"/>
            <w:b w:val="false"/>
            <w:i w:val="false"/>
            <w:color w:val="000000"/>
            <w:sz w:val="22"/>
          </w:rPr>
          <w:t>76.14(2)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will be acted upon and treated like an application and the eligibility effective date will be determined pursuant to subparagraph </w:t>
      </w:r>
      <w:hyperlink r:id="rId73">
        <w:r>
          <w:rPr>
            <w:rStyle w:val="Hyperlink"/>
            <w:rFonts w:ascii="Times New Roman" w:hAnsi="Times New Roman"/>
            <w:b w:val="false"/>
            <w:i w:val="false"/>
            <w:color w:val="000000"/>
            <w:sz w:val="22"/>
          </w:rPr>
          <w:t>76.13(1)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Interview required. </w:t>
      </w:r>
      <w:r>
        <w:rPr>
          <w:rFonts w:ascii="Times New Roman" w:hAnsi="Times New Roman"/>
          <w:b w:val="false"/>
          <w:i w:val="false"/>
          <w:color w:val="000000"/>
          <w:sz w:val="22"/>
        </w:rPr>
        <w:t>An individual whose eligibility is not based on the MAGI methodology may be required to attend an interview to clarify information or to resolve conflicting information. The department will not require an in-person interview as part of the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441—76.15</w:t>
      </w:r>
      <w:r>
        <w:rPr>
          <w:rFonts w:ascii="Times New Roman" w:hAnsi="Times New Roman"/>
          <w:b/>
          <w:i w:val="false"/>
          <w:color w:val="000000"/>
          <w:sz w:val="22"/>
        </w:rPr>
        <w:t xml:space="preserve">(249A) </w:t>
      </w:r>
      <w:r>
        <w:rPr>
          <w:rFonts w:ascii="Times New Roman" w:hAnsi="Times New Roman"/>
          <w:b/>
          <w:i w:val="false"/>
          <w:color w:val="000000"/>
          <w:sz w:val="22"/>
        </w:rPr>
        <w:t xml:space="preserve">Report of changes. </w:t>
      </w:r>
      <w:r>
        <w:rPr>
          <w:rFonts w:ascii="Times New Roman" w:hAnsi="Times New Roman"/>
          <w:b w:val="false"/>
          <w:i w:val="false"/>
          <w:color w:val="000000"/>
          <w:sz w:val="22"/>
        </w:rPr>
        <w:t>As a continuing condition of enrollment for Medicaid, applicants and current members shall report changes in circumstances as required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76.15(1)</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circumstance that may affect the eligibility of applicants and members must be reported within ten days of the date the change occurred. Changes required to be reported are described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coverage groups for which Medicaid eligibility is determined using the MAGI methodology, any change in the following must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School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Alien or citizenship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Federal income tax filing status or claimed dependents for federal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coverage groups for which Medicaid eligibility is not determined using the MAGI methodology, any change in the following must be reported. </w:t>
      </w:r>
      <w:r>
        <w:br/>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Persons actually receiving SSI benefits are exempted from these reporting requirements unless the persons have a trust or are applying for or are receiving home- and community-based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Recovery from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Medicare premiums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Receipt of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Gross income of the community spouse or of the dependent children, parents, or siblings of the institutionalized or community spouse who are living with a community spouse when a diversion is made to the community spouse or family, as those terms are defined in rule </w:t>
      </w:r>
      <w:hyperlink r:id="rId74">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Income and resources of parents and spouses when income and resources are used in determining Medicaid eligibility, client participation, or spenddown.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Residence in a medical institution for other than respite care for more than 15 days for home- and community-based waiver services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in the breast and cervical cancer coverage group are required to report changes in their health insurance coverage and changes in their living or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receiving Medicaid based on the receipt of Title IV-E-funded foster care, based on an adoption assistance agreement, or based on a guardianship assistance agreement are required to report changes in health insurance coverage, when their living or mailing address changes, upon receipt of a social security number, and upon termination of the adoption assistance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receiving state-only funded Medicaid are required to report any change in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all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Alien or citizenship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76.15(2)</w:t>
      </w:r>
      <w:r>
        <w:rPr>
          <w:rFonts w:ascii="Times New Roman" w:hAnsi="Times New Roman"/>
          <w:b w:val="false"/>
          <w:i w:val="false"/>
          <w:color w:val="000000"/>
          <w:sz w:val="22"/>
        </w:rPr>
        <w:t> </w:t>
      </w:r>
      <w:r>
        <w:rPr>
          <w:rFonts w:ascii="Times New Roman" w:hAnsi="Times New Roman"/>
          <w:b w:val="false"/>
          <w:i w:val="false"/>
          <w:color w:val="000000"/>
          <w:sz w:val="22"/>
        </w:rPr>
        <w:t>Failure to report. When a change is not reported as required by this rule, any Medicaid expenditures for care or services provided when the member was not eligible will be considered overpayments and subject to recovery from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441—76.16</w:t>
      </w:r>
      <w:r>
        <w:rPr>
          <w:rFonts w:ascii="Times New Roman" w:hAnsi="Times New Roman"/>
          <w:b/>
          <w:i w:val="false"/>
          <w:color w:val="000000"/>
          <w:sz w:val="22"/>
        </w:rPr>
        <w:t xml:space="preserve">(249A) </w:t>
      </w:r>
      <w:r>
        <w:rPr>
          <w:rFonts w:ascii="Times New Roman" w:hAnsi="Times New Roman"/>
          <w:b/>
          <w:i w:val="false"/>
          <w:color w:val="000000"/>
          <w:sz w:val="22"/>
        </w:rPr>
        <w:t xml:space="preserve">Action on information received. </w:t>
      </w:r>
      <w:r>
        <w:rPr>
          <w:rFonts w:ascii="Times New Roman" w:hAnsi="Times New Roman"/>
          <w:b w:val="false"/>
          <w:i w:val="false"/>
          <w:color w:val="000000"/>
          <w:sz w:val="22"/>
        </w:rPr>
        <w:t xml:space="preserve">When a change in circumstance is reported, or when a change in a member’s circumstances otherwise comes to the attention of the department, its effect on eligibility will be evaluated and eligibility will be redetermined regardless of whether the report of change was required by rule </w:t>
      </w:r>
      <w:hyperlink r:id="rId75">
        <w:r>
          <w:rPr>
            <w:rStyle w:val="Hyperlink"/>
            <w:rFonts w:ascii="Times New Roman" w:hAnsi="Times New Roman"/>
            <w:b w:val="false"/>
            <w:i w:val="false"/>
            <w:color w:val="000000"/>
            <w:sz w:val="22"/>
          </w:rPr>
          <w:t>441—76.15</w:t>
        </w:r>
      </w:hyperlink>
      <w:r>
        <w:rPr>
          <w:rFonts w:ascii="Times New Roman" w:hAnsi="Times New Roman"/>
          <w:b w:val="false"/>
          <w:i w:val="false"/>
          <w:color w:val="000000"/>
          <w:sz w:val="22"/>
        </w:rPr>
        <w:t>(249A). When the department has information about an anticipated change in a member’s circumstances that may affect eligibility, eligibility will be redetermined at the appropriate time based on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assistance has been approved, except as provided in subrules </w:t>
      </w:r>
      <w:hyperlink r:id="rId76">
        <w:r>
          <w:rPr>
            <w:rStyle w:val="Hyperlink"/>
            <w:rFonts w:ascii="Times New Roman" w:hAnsi="Times New Roman"/>
            <w:b w:val="false"/>
            <w:i w:val="false"/>
            <w:color w:val="000000"/>
            <w:sz w:val="22"/>
          </w:rPr>
          <w:t>76.16(2)</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76.16(3)</w:t>
        </w:r>
      </w:hyperlink>
      <w:r>
        <w:rPr>
          <w:rFonts w:ascii="Times New Roman" w:hAnsi="Times New Roman"/>
          <w:b w:val="false"/>
          <w:i w:val="false"/>
          <w:color w:val="000000"/>
          <w:sz w:val="22"/>
        </w:rPr>
        <w:t xml:space="preserve"> or as otherwise stated in 441—Chapter </w:t>
      </w:r>
      <w:hyperlink r:id="rId78">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or this chapter, action based on a change reported during a month will be effective the first day of the next calendar month unless timely notice of adverse action is required as specified in rule </w:t>
      </w:r>
      <w:hyperlink r:id="rId79">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request is made to add a new person to the Medicaid household and that person meets the eligibility requirements, assistance will be acted upon pursuant to rule </w:t>
      </w:r>
      <w:hyperlink r:id="rId80">
        <w:r>
          <w:rPr>
            <w:rStyle w:val="Hyperlink"/>
            <w:rFonts w:ascii="Times New Roman" w:hAnsi="Times New Roman"/>
            <w:b w:val="false"/>
            <w:i w:val="false"/>
            <w:color w:val="000000"/>
            <w:sz w:val="22"/>
          </w:rPr>
          <w:t>441—76.12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reported change causes a change in coverage from a Medicare Savings Program coverage group described in </w:t>
      </w:r>
      <w:hyperlink r:id="rId81">
        <w:r>
          <w:rPr>
            <w:rStyle w:val="Hyperlink"/>
            <w:rFonts w:ascii="Times New Roman" w:hAnsi="Times New Roman"/>
            <w:b w:val="false"/>
            <w:i w:val="false"/>
            <w:color w:val="000000"/>
            <w:sz w:val="22"/>
          </w:rPr>
          <w:t>441—subrule 75.6(5)</w:t>
        </w:r>
      </w:hyperlink>
      <w:r>
        <w:rPr>
          <w:rFonts w:ascii="Times New Roman" w:hAnsi="Times New Roman"/>
          <w:b w:val="false"/>
          <w:i w:val="false"/>
          <w:color w:val="000000"/>
          <w:sz w:val="22"/>
        </w:rPr>
        <w:t xml:space="preserve"> to coverage under Medicaid for employed people with disabilities (MEPD) as described in </w:t>
      </w:r>
      <w:hyperlink r:id="rId82">
        <w:r>
          <w:rPr>
            <w:rStyle w:val="Hyperlink"/>
            <w:rFonts w:ascii="Times New Roman" w:hAnsi="Times New Roman"/>
            <w:b w:val="false"/>
            <w:i w:val="false"/>
            <w:color w:val="000000"/>
            <w:sz w:val="22"/>
          </w:rPr>
          <w:t>441—subrule 75.6(6)</w:t>
        </w:r>
      </w:hyperlink>
      <w:r>
        <w:rPr>
          <w:rFonts w:ascii="Times New Roman" w:hAnsi="Times New Roman"/>
          <w:b w:val="false"/>
          <w:i w:val="false"/>
          <w:color w:val="000000"/>
          <w:sz w:val="22"/>
        </w:rPr>
        <w:t>, the reported change will be effective the first day of the calendar month that the change was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76.16(4)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change creates ineligibility, eligibility under the current coverage group will be canceled and an automatic redetermination of eligibility will be completed in accordance with rule </w:t>
      </w:r>
      <w:hyperlink r:id="rId83">
        <w:r>
          <w:rPr>
            <w:rStyle w:val="Hyperlink"/>
            <w:rFonts w:ascii="Times New Roman" w:hAnsi="Times New Roman"/>
            <w:b w:val="false"/>
            <w:i w:val="false"/>
            <w:color w:val="000000"/>
            <w:sz w:val="22"/>
          </w:rPr>
          <w:t>441—76.17</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441—76.17</w:t>
      </w:r>
      <w:r>
        <w:rPr>
          <w:rFonts w:ascii="Times New Roman" w:hAnsi="Times New Roman"/>
          <w:b/>
          <w:i w:val="false"/>
          <w:color w:val="000000"/>
          <w:sz w:val="22"/>
        </w:rPr>
        <w:t xml:space="preserve">(249A) </w:t>
      </w:r>
      <w:r>
        <w:rPr>
          <w:rFonts w:ascii="Times New Roman" w:hAnsi="Times New Roman"/>
          <w:b/>
          <w:i w:val="false"/>
          <w:color w:val="000000"/>
          <w:sz w:val="22"/>
        </w:rPr>
        <w:t xml:space="preserve">Timeliness requirements for conducting automatic redeterminations of eligibility. </w:t>
      </w:r>
      <w:r>
        <w:rPr>
          <w:rFonts w:ascii="Times New Roman" w:hAnsi="Times New Roman"/>
          <w:b w:val="false"/>
          <w:i w:val="false"/>
          <w:color w:val="000000"/>
          <w:sz w:val="22"/>
        </w:rPr>
        <w:t xml:space="preserve">Whenever a Medicaid member no longer meets the eligibility requirements of the current coverage group, the department will automatically redetermine eligibility for other Medicaid coverage groups unless the reason for ineligibility is due to not meeting the requirements in rule </w:t>
      </w:r>
      <w:hyperlink r:id="rId84">
        <w:r>
          <w:rPr>
            <w:rStyle w:val="Hyperlink"/>
            <w:rFonts w:ascii="Times New Roman" w:hAnsi="Times New Roman"/>
            <w:b w:val="false"/>
            <w:i w:val="false"/>
            <w:color w:val="000000"/>
            <w:sz w:val="22"/>
          </w:rPr>
          <w:t>441—76.8</w:t>
        </w:r>
      </w:hyperlink>
      <w:r>
        <w:rPr>
          <w:rFonts w:ascii="Times New Roman" w:hAnsi="Times New Roman"/>
          <w:b w:val="false"/>
          <w:i w:val="false"/>
          <w:color w:val="000000"/>
          <w:sz w:val="22"/>
        </w:rPr>
        <w:t xml:space="preserve">(249A). If the reason for ineligibility under the initial coverage group pertained to a condition of eligibility that applies to all coverage groups, no further redetermination will be required. When the redetermination is completed, the member will be notified of the decision in writing. The redetermination process will be completed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76.17(1)</w:t>
      </w:r>
      <w:r>
        <w:rPr>
          <w:rFonts w:ascii="Times New Roman" w:hAnsi="Times New Roman"/>
          <w:b w:val="false"/>
          <w:i w:val="false"/>
          <w:color w:val="000000"/>
          <w:sz w:val="22"/>
        </w:rPr>
        <w:t> </w:t>
      </w:r>
      <w:r>
        <w:rPr>
          <w:rFonts w:ascii="Times New Roman" w:hAnsi="Times New Roman"/>
          <w:b w:val="false"/>
          <w:i/>
          <w:color w:val="000000"/>
          <w:sz w:val="22"/>
        </w:rPr>
        <w:t xml:space="preserve">Information received by the tenth of the month. </w:t>
      </w:r>
      <w:r>
        <w:rPr>
          <w:rFonts w:ascii="Times New Roman" w:hAnsi="Times New Roman"/>
          <w:b w:val="false"/>
          <w:i w:val="false"/>
          <w:color w:val="000000"/>
          <w:sz w:val="22"/>
        </w:rPr>
        <w:t xml:space="preserve">If information that creates ineligibility under the current coverage group is received by the department by the tenth of the month, the redetermination process will be completed by the end of that month unless the provisions of rule </w:t>
      </w:r>
      <w:hyperlink r:id="rId85">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 xml:space="preserve">(249A) apply. The effective date of cancellation for the current coverage group will be the first day of the month following the month in which the information is received, pursuant to rule </w:t>
      </w:r>
      <w:hyperlink r:id="rId86">
        <w:r>
          <w:rPr>
            <w:rStyle w:val="Hyperlink"/>
            <w:rFonts w:ascii="Times New Roman" w:hAnsi="Times New Roman"/>
            <w:b w:val="false"/>
            <w:i w:val="false"/>
            <w:color w:val="000000"/>
            <w:sz w:val="22"/>
          </w:rPr>
          <w:t>441—76.16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76.17(2)</w:t>
      </w:r>
      <w:r>
        <w:rPr>
          <w:rFonts w:ascii="Times New Roman" w:hAnsi="Times New Roman"/>
          <w:b w:val="false"/>
          <w:i w:val="false"/>
          <w:color w:val="000000"/>
          <w:sz w:val="22"/>
        </w:rPr>
        <w:t> </w:t>
      </w:r>
      <w:r>
        <w:rPr>
          <w:rFonts w:ascii="Times New Roman" w:hAnsi="Times New Roman"/>
          <w:b w:val="false"/>
          <w:i/>
          <w:color w:val="000000"/>
          <w:sz w:val="22"/>
        </w:rPr>
        <w:t xml:space="preserve">Information received after the tenth of the month. </w:t>
      </w:r>
      <w:r>
        <w:rPr>
          <w:rFonts w:ascii="Times New Roman" w:hAnsi="Times New Roman"/>
          <w:b w:val="false"/>
          <w:i w:val="false"/>
          <w:color w:val="000000"/>
          <w:sz w:val="22"/>
        </w:rPr>
        <w:t xml:space="preserve">If information that creates ineligibility under the current coverage group is received by the department after the tenth of the month, the redetermination process will be completed by the end of the following month unless the provisions of rule </w:t>
      </w:r>
      <w:hyperlink r:id="rId87">
        <w:r>
          <w:rPr>
            <w:rStyle w:val="Hyperlink"/>
            <w:rFonts w:ascii="Times New Roman" w:hAnsi="Times New Roman"/>
            <w:b w:val="false"/>
            <w:i w:val="false"/>
            <w:color w:val="000000"/>
            <w:sz w:val="22"/>
          </w:rPr>
          <w:t>441—76.14</w:t>
        </w:r>
      </w:hyperlink>
      <w:r>
        <w:rPr>
          <w:rFonts w:ascii="Times New Roman" w:hAnsi="Times New Roman"/>
          <w:b w:val="false"/>
          <w:i w:val="false"/>
          <w:color w:val="000000"/>
          <w:sz w:val="22"/>
        </w:rPr>
        <w:t xml:space="preserve">(249A) apply. The effective date of cancellation for the current coverage group will be no earlier than the first day of the first month following the month in which the information is received, pursuant to rule </w:t>
      </w:r>
      <w:hyperlink r:id="rId88">
        <w:r>
          <w:rPr>
            <w:rStyle w:val="Hyperlink"/>
            <w:rFonts w:ascii="Times New Roman" w:hAnsi="Times New Roman"/>
            <w:b w:val="false"/>
            <w:i w:val="false"/>
            <w:color w:val="000000"/>
            <w:sz w:val="22"/>
          </w:rPr>
          <w:t>441—76.16</w:t>
        </w:r>
      </w:hyperlink>
      <w:r>
        <w:rPr>
          <w:rFonts w:ascii="Times New Roman" w:hAnsi="Times New Roman"/>
          <w:b w:val="false"/>
          <w:i w:val="false"/>
          <w:color w:val="000000"/>
          <w:sz w:val="22"/>
        </w:rPr>
        <w:t>(249A), but no later than the second month following the month in which the information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76.17(3)</w:t>
      </w:r>
      <w:r>
        <w:rPr>
          <w:rFonts w:ascii="Times New Roman" w:hAnsi="Times New Roman"/>
          <w:b w:val="false"/>
          <w:i w:val="false"/>
          <w:color w:val="000000"/>
          <w:sz w:val="22"/>
        </w:rPr>
        <w:t> </w:t>
      </w:r>
      <w:r>
        <w:rPr>
          <w:rFonts w:ascii="Times New Roman" w:hAnsi="Times New Roman"/>
          <w:b w:val="false"/>
          <w:i/>
          <w:color w:val="000000"/>
          <w:sz w:val="22"/>
        </w:rPr>
        <w:t xml:space="preserve">Change in federal law. </w:t>
      </w:r>
      <w:r>
        <w:rPr>
          <w:rFonts w:ascii="Times New Roman" w:hAnsi="Times New Roman"/>
          <w:b w:val="false"/>
          <w:i w:val="false"/>
          <w:color w:val="000000"/>
          <w:sz w:val="22"/>
        </w:rPr>
        <w:t xml:space="preserve">If a change in federal law affects the eligibility of large numbers of Medicaid members and the United States Secretary of Health and Human Services has extended the redetermination time limits, in accordance with </w:t>
      </w:r>
      <w:r>
        <w:rPr>
          <w:rFonts w:ascii="Times New Roman" w:hAnsi="Times New Roman"/>
          <w:b w:val="false"/>
          <w:i w:val="false"/>
          <w:color w:val="000000"/>
          <w:sz w:val="22"/>
        </w:rPr>
        <w:t>42 CFR §435.1003</w:t>
      </w:r>
      <w:r>
        <w:rPr>
          <w:rFonts w:ascii="Times New Roman" w:hAnsi="Times New Roman"/>
          <w:b w:val="false"/>
          <w:i w:val="false"/>
          <w:color w:val="000000"/>
          <w:sz w:val="22"/>
        </w:rPr>
        <w:t>, the redetermination process will be completed within the extended time limit and the effective date of cancellation for the current coverage group will be no later than the first day of the month following the month in which the extended time limit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9702C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11/5/82, Notice 8/18/82—published 11/24/82, effective 1/1/83]</w:t>
      </w:r>
    </w:p>
    <w:p>
      <w:pPr>
        <w:spacing w:before="0" w:after="0"/>
        <w:ind w:left="120"/>
        <w:jc w:val="center"/>
      </w:pPr>
      <w:r>
        <w:rPr>
          <w:rFonts w:ascii="Times New Roman" w:hAnsi="Times New Roman"/>
          <w:b w:val="false"/>
          <w:i w:val="false"/>
          <w:color w:val="000000"/>
          <w:sz w:val="21"/>
        </w:rPr>
        <w:t>[Filed emergency 1/13/84—published 2/1/84, effective 2/8/84]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8/31/84, Notice 6/20/84—published 9/26/84, effective 11/1/84]</w:t>
      </w:r>
    </w:p>
    <w:p>
      <w:pPr>
        <w:spacing w:before="0" w:after="0"/>
        <w:ind w:left="120"/>
        <w:jc w:val="center"/>
      </w:pPr>
      <w:r>
        <w:rPr>
          <w:rFonts w:ascii="Times New Roman" w:hAnsi="Times New Roman"/>
          <w:b w:val="false"/>
          <w:i w:val="false"/>
          <w:color w:val="000000"/>
          <w:sz w:val="21"/>
        </w:rPr>
        <w:t>[Filed 9/28/84, Notice 8/15/84—published 10/24/84, effective 12/1/84]</w:t>
      </w:r>
    </w:p>
    <w:p>
      <w:pPr>
        <w:spacing w:before="0" w:after="0"/>
        <w:ind w:left="120"/>
        <w:jc w:val="center"/>
      </w:pPr>
      <w:r>
        <w:rPr>
          <w:rFonts w:ascii="Times New Roman" w:hAnsi="Times New Roman"/>
          <w:b w:val="false"/>
          <w:i w:val="false"/>
          <w:color w:val="000000"/>
          <w:sz w:val="21"/>
        </w:rPr>
        <w:t>[Filed 10/1/85, Notice 8/14/85—published 10/23/85, effective 12/1/85]</w:t>
      </w:r>
    </w:p>
    <w:p>
      <w:pPr>
        <w:spacing w:before="0" w:after="0"/>
        <w:ind w:left="120"/>
        <w:jc w:val="center"/>
      </w:pPr>
      <w:r>
        <w:rPr>
          <w:rFonts w:ascii="Times New Roman" w:hAnsi="Times New Roman"/>
          <w:b w:val="false"/>
          <w:i w:val="false"/>
          <w:color w:val="000000"/>
          <w:sz w:val="21"/>
        </w:rPr>
        <w:t>[Filed 2/21/86, Notice 1/1/86—published 3/12/86, effective 5/1/86]</w:t>
      </w:r>
    </w:p>
    <w:p>
      <w:pPr>
        <w:spacing w:before="0" w:after="0"/>
        <w:ind w:left="120"/>
        <w:jc w:val="center"/>
      </w:pPr>
      <w:r>
        <w:rPr>
          <w:rFonts w:ascii="Times New Roman" w:hAnsi="Times New Roman"/>
          <w:b w:val="false"/>
          <w:i w:val="false"/>
          <w:color w:val="000000"/>
          <w:sz w:val="21"/>
        </w:rPr>
        <w:t>[Filed 3/21/86, Notice 1/29/86—published 4/9/86, effective 6/1/86]</w:t>
      </w:r>
    </w:p>
    <w:p>
      <w:pPr>
        <w:spacing w:before="0" w:after="0"/>
        <w:ind w:left="120"/>
        <w:jc w:val="center"/>
      </w:pPr>
      <w:r>
        <w:rPr>
          <w:rFonts w:ascii="Times New Roman" w:hAnsi="Times New Roman"/>
          <w:b w:val="false"/>
          <w:i w:val="false"/>
          <w:color w:val="000000"/>
          <w:sz w:val="21"/>
        </w:rPr>
        <w:t>[Filed 4/29/86, Notice 3/12/86—published 5/21/86, effective 8/1/86]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8/28/87, Notice 6/17/87—published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3/17/88, Notice 1/13/88—published 4/6/88, effective 6/1/88]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2/16/89, Notice 12/28/88—published 3/8/89, effective 5/1/89]</w:t>
      </w:r>
    </w:p>
    <w:p>
      <w:pPr>
        <w:spacing w:before="0" w:after="0"/>
        <w:ind w:left="120"/>
        <w:jc w:val="center"/>
      </w:pPr>
      <w:r>
        <w:rPr>
          <w:rFonts w:ascii="Times New Roman" w:hAnsi="Times New Roman"/>
          <w:b w:val="false"/>
          <w:i w:val="false"/>
          <w:color w:val="000000"/>
          <w:sz w:val="21"/>
        </w:rPr>
        <w:t>[Filed 4/14/89, Notice 2/22/89—published 5/3/89, effective 7/1/89]</w:t>
      </w:r>
    </w:p>
    <w:p>
      <w:pPr>
        <w:spacing w:before="0" w:after="0"/>
        <w:ind w:left="120"/>
        <w:jc w:val="center"/>
      </w:pPr>
      <w:r>
        <w:rPr>
          <w:rFonts w:ascii="Times New Roman" w:hAnsi="Times New Roman"/>
          <w:b w:val="false"/>
          <w:i w:val="false"/>
          <w:color w:val="000000"/>
          <w:sz w:val="21"/>
        </w:rPr>
        <w:t>[Filed 7/14/89, Notice 5/31/89—published 8/9/89, effective 10/1/89]</w:t>
      </w:r>
    </w:p>
    <w:p>
      <w:pPr>
        <w:spacing w:before="0" w:after="0"/>
        <w:ind w:left="120"/>
        <w:jc w:val="center"/>
      </w:pPr>
      <w:r>
        <w:rPr>
          <w:rFonts w:ascii="Times New Roman" w:hAnsi="Times New Roman"/>
          <w:b w:val="false"/>
          <w:i w:val="false"/>
          <w:color w:val="000000"/>
          <w:sz w:val="21"/>
        </w:rPr>
        <w:t>[Filed 10/10/89, Notice 8/23/89—published 11/1/89, effective 1/1/90]</w:t>
      </w:r>
    </w:p>
    <w:p>
      <w:pPr>
        <w:spacing w:before="0" w:after="0"/>
        <w:ind w:left="120"/>
        <w:jc w:val="center"/>
      </w:pPr>
      <w:r>
        <w:rPr>
          <w:rFonts w:ascii="Times New Roman" w:hAnsi="Times New Roman"/>
          <w:b w:val="false"/>
          <w:i w:val="false"/>
          <w:color w:val="000000"/>
          <w:sz w:val="21"/>
        </w:rPr>
        <w:t>[Filed 11/16/89, Notice 9/20/89—published 12/13/89, effective 2/1/90]</w:t>
      </w:r>
    </w:p>
    <w:p>
      <w:pPr>
        <w:spacing w:before="0" w:after="0"/>
        <w:ind w:left="120"/>
        <w:jc w:val="center"/>
      </w:pPr>
      <w:r>
        <w:rPr>
          <w:rFonts w:ascii="Times New Roman" w:hAnsi="Times New Roman"/>
          <w:b w:val="false"/>
          <w:i w:val="false"/>
          <w:color w:val="000000"/>
          <w:sz w:val="21"/>
        </w:rPr>
        <w:t>[Filed 1/17/90, Notice 8/23/90—published 2/7/90, effective 4/1/90]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6/14/90, Notice 5/2/90—published 7/11/90, effective 9/1/90]</w:t>
      </w:r>
    </w:p>
    <w:p>
      <w:pPr>
        <w:spacing w:before="0" w:after="0"/>
        <w:ind w:left="120"/>
        <w:jc w:val="center"/>
      </w:pPr>
      <w:r>
        <w:rPr>
          <w:rFonts w:ascii="Times New Roman" w:hAnsi="Times New Roman"/>
          <w:b w:val="false"/>
          <w:i w:val="false"/>
          <w:color w:val="000000"/>
          <w:sz w:val="21"/>
        </w:rPr>
        <w:t>[Filed 11/14/90, Notice 10/3/90—published 12/12/90, effective 2/1/91]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4/11/91, Notice 2/20/91—published 5/1/91,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10/10/91, Notice 8/21/91—published 10/30/91, effective 1/1/92]</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1/16/92, Notice 11/27/91—published 2/5/92, effective 4/1/92]</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2/13/92, Notices 12/25/91, 1/8/92—published 3/4/92, effective 5/1/92]</w:t>
      </w:r>
    </w:p>
    <w:p>
      <w:pPr>
        <w:spacing w:before="0" w:after="0"/>
        <w:ind w:left="120"/>
        <w:jc w:val="center"/>
      </w:pPr>
      <w:r>
        <w:rPr>
          <w:rFonts w:ascii="Times New Roman" w:hAnsi="Times New Roman"/>
          <w:b w:val="false"/>
          <w:i w:val="false"/>
          <w:color w:val="000000"/>
          <w:sz w:val="21"/>
        </w:rPr>
        <w:t>[Filed emergency 4/16/92 after Notice 2/19/92—published 5/13/92, effective 5/1/92]</w:t>
      </w:r>
    </w:p>
    <w:p>
      <w:pPr>
        <w:spacing w:before="0" w:after="0"/>
        <w:ind w:left="120"/>
        <w:jc w:val="center"/>
      </w:pPr>
      <w:r>
        <w:rPr>
          <w:rFonts w:ascii="Times New Roman" w:hAnsi="Times New Roman"/>
          <w:b w:val="false"/>
          <w:i w:val="false"/>
          <w:color w:val="000000"/>
          <w:sz w:val="21"/>
        </w:rPr>
        <w:t>[Filed emergency 6/11/92 after Notice 4/15/92—published 7/8/92, effective 7/1/92]</w:t>
      </w:r>
    </w:p>
    <w:p>
      <w:pPr>
        <w:spacing w:before="0" w:after="0"/>
        <w:ind w:left="120"/>
        <w:jc w:val="center"/>
      </w:pPr>
      <w:r>
        <w:rPr>
          <w:rFonts w:ascii="Times New Roman" w:hAnsi="Times New Roman"/>
          <w:b w:val="false"/>
          <w:i w:val="false"/>
          <w:color w:val="000000"/>
          <w:sz w:val="21"/>
        </w:rPr>
        <w:t>[Filed 6/11/92, Notice 4/15/92—published 7/8/92, effective 9/1/92]</w:t>
      </w:r>
    </w:p>
    <w:p>
      <w:pPr>
        <w:spacing w:before="0" w:after="0"/>
        <w:ind w:left="120"/>
        <w:jc w:val="center"/>
      </w:pPr>
      <w:r>
        <w:rPr>
          <w:rFonts w:ascii="Times New Roman" w:hAnsi="Times New Roman"/>
          <w:b w:val="false"/>
          <w:i w:val="false"/>
          <w:color w:val="000000"/>
          <w:sz w:val="21"/>
        </w:rPr>
        <w:t>[Filed emergency 7/17/92—published 8/5/92, effective 8/1/92]</w:t>
      </w:r>
    </w:p>
    <w:p>
      <w:pPr>
        <w:spacing w:before="0" w:after="0"/>
        <w:ind w:left="120"/>
        <w:jc w:val="center"/>
      </w:pPr>
      <w:r>
        <w:rPr>
          <w:rFonts w:ascii="Times New Roman" w:hAnsi="Times New Roman"/>
          <w:b w:val="false"/>
          <w:i w:val="false"/>
          <w:color w:val="000000"/>
          <w:sz w:val="21"/>
        </w:rPr>
        <w:t>[Filed 9/11/92, Notices 7/22/92, 8/5/92—published 9/30/92, effective 12/1/92]</w:t>
      </w:r>
    </w:p>
    <w:p>
      <w:pPr>
        <w:spacing w:before="0" w:after="0"/>
        <w:ind w:left="120"/>
        <w:jc w:val="center"/>
      </w:pPr>
      <w:r>
        <w:rPr>
          <w:rFonts w:ascii="Times New Roman" w:hAnsi="Times New Roman"/>
          <w:b w:val="false"/>
          <w:i w:val="false"/>
          <w:color w:val="000000"/>
          <w:sz w:val="21"/>
        </w:rPr>
        <w:t>[Filed 7/14/93, Notice 5/12/93—published 8/4/93, effective 10/1/93]</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11/12/93, Notice 9/29/93—published 12/8/93, effective 2/1/94]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10/12/94, Notices 8/17/94—published 11/9/94, effective 1/1/95]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8/10/95, Notice 6/21/95—published 8/30/95, effective 11/1/95]</w:t>
      </w:r>
    </w:p>
    <w:p>
      <w:pPr>
        <w:spacing w:before="0" w:after="0"/>
        <w:ind w:left="120"/>
        <w:jc w:val="center"/>
      </w:pPr>
      <w:r>
        <w:rPr>
          <w:rFonts w:ascii="Times New Roman" w:hAnsi="Times New Roman"/>
          <w:b w:val="false"/>
          <w:i w:val="false"/>
          <w:color w:val="000000"/>
          <w:sz w:val="21"/>
        </w:rPr>
        <w:t>[Filed 12/12/96, Notice 9/11/96—published 1/1/97, effective 3/1/97]</w:t>
      </w:r>
    </w:p>
    <w:p>
      <w:pPr>
        <w:spacing w:before="0" w:after="0"/>
        <w:ind w:left="120"/>
        <w:jc w:val="center"/>
      </w:pPr>
      <w:r>
        <w:rPr>
          <w:rFonts w:ascii="Times New Roman" w:hAnsi="Times New Roman"/>
          <w:b w:val="false"/>
          <w:i w:val="false"/>
          <w:color w:val="000000"/>
          <w:sz w:val="21"/>
        </w:rPr>
        <w:t>[Filed emergency1/15/97 after Notice 12/4/96—published 2/12/97, effective 2/1/97]</w:t>
      </w:r>
    </w:p>
    <w:p>
      <w:pPr>
        <w:spacing w:before="0" w:after="0"/>
        <w:ind w:left="120"/>
        <w:jc w:val="center"/>
      </w:pPr>
      <w:r>
        <w:rPr>
          <w:rFonts w:ascii="Times New Roman" w:hAnsi="Times New Roman"/>
          <w:b w:val="false"/>
          <w:i w:val="false"/>
          <w:color w:val="000000"/>
          <w:sz w:val="21"/>
        </w:rPr>
        <w:t>[Filed emergency 3/12/97—published 4/9/97, effective 4/1/97]</w:t>
      </w:r>
    </w:p>
    <w:p>
      <w:pPr>
        <w:spacing w:before="0" w:after="0"/>
        <w:ind w:left="120"/>
        <w:jc w:val="center"/>
      </w:pPr>
      <w:r>
        <w:rPr>
          <w:rFonts w:ascii="Times New Roman" w:hAnsi="Times New Roman"/>
          <w:b w:val="false"/>
          <w:i w:val="false"/>
          <w:color w:val="000000"/>
          <w:sz w:val="21"/>
        </w:rPr>
        <w:t>[Filed 9/16/97, Notice 7/16/97—published 10/8/97, effective 12/1/97]</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emergency 12/23/98 after Notice 11/4/98—published 1/13/99, effective 1/1/99]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8/11/99, Notices 6/16/99, 6/30/99—published 9/8/99, effective 11/1/99]</w:t>
      </w:r>
    </w:p>
    <w:p>
      <w:pPr>
        <w:spacing w:before="0" w:after="0"/>
        <w:ind w:left="120"/>
        <w:jc w:val="center"/>
      </w:pPr>
      <w:r>
        <w:rPr>
          <w:rFonts w:ascii="Times New Roman" w:hAnsi="Times New Roman"/>
          <w:b w:val="false"/>
          <w:i w:val="false"/>
          <w:color w:val="000000"/>
          <w:sz w:val="21"/>
        </w:rPr>
        <w:t>[Filed emergency 9/12/00 after Notice 7/12/00—published 10/4/00, effective 10/1/00]</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6/13/02—published 7/10/02, effective 6/13/02]</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5/16/03—published 6/11/03,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12/16/03 after Notice 10/29/03—published 1/7/04, effective 1/1/04]</w:t>
      </w:r>
    </w:p>
    <w:p>
      <w:pPr>
        <w:spacing w:before="0" w:after="0"/>
        <w:ind w:left="120"/>
        <w:jc w:val="center"/>
      </w:pPr>
      <w:r>
        <w:rPr>
          <w:rFonts w:ascii="Times New Roman" w:hAnsi="Times New Roman"/>
          <w:b w:val="false"/>
          <w:i w:val="false"/>
          <w:color w:val="000000"/>
          <w:sz w:val="21"/>
        </w:rPr>
        <w:t>[Filed emergency 7/9/04—published 8/4/04, effective 7/9/04]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emergency 1/13/05 after Notice 12/8/04—published 2/2/05, effective 2/1/05]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 after Notice 8/4/04—published 7/6/05, effective 7/1/05]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6/16/06 after Notice 4/12/06—published 7/5/06, effective 7/1/06]</w:t>
      </w:r>
    </w:p>
    <w:p>
      <w:pPr>
        <w:spacing w:before="0" w:after="0"/>
        <w:ind w:left="120"/>
        <w:jc w:val="center"/>
      </w:pPr>
      <w:r>
        <w:rPr>
          <w:rFonts w:ascii="Times New Roman" w:hAnsi="Times New Roman"/>
          <w:b w:val="false"/>
          <w:i w:val="false"/>
          <w:color w:val="000000"/>
          <w:sz w:val="21"/>
        </w:rPr>
        <w:t>[Filed 12/13/06, Notice 8/2/06—published 1/3/07, effective 3/1/07]</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emergency 7/12/07 after Notice 5/9/07—published 8/1/07, effective 8/1/07]</w:t>
      </w:r>
    </w:p>
    <w:p>
      <w:pPr>
        <w:spacing w:before="0" w:after="0"/>
        <w:ind w:left="120"/>
        <w:jc w:val="center"/>
      </w:pPr>
      <w:r>
        <w:rPr>
          <w:rFonts w:ascii="Times New Roman" w:hAnsi="Times New Roman"/>
          <w:b w:val="false"/>
          <w:i w:val="false"/>
          <w:color w:val="000000"/>
          <w:sz w:val="21"/>
        </w:rPr>
        <w:t>[Filed 11/14/07, Notice 8/29/07—published 12/5/07, effective 2/1/08]</w:t>
      </w:r>
    </w:p>
    <w:p>
      <w:pPr>
        <w:spacing w:before="0" w:after="0"/>
        <w:ind w:left="120"/>
        <w:jc w:val="center"/>
      </w:pPr>
      <w:r>
        <w:rPr>
          <w:rFonts w:ascii="Times New Roman" w:hAnsi="Times New Roman"/>
          <w:b w:val="false"/>
          <w:i w:val="false"/>
          <w:color w:val="000000"/>
          <w:sz w:val="21"/>
        </w:rPr>
        <w:t>[Filed emergency 2/13/08 after Notice 12/19/07—published 3/12/08, effective 2/15/08]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7544B</w:t>
      </w:r>
      <w:r>
        <w:rPr>
          <w:rFonts w:ascii="Times New Roman" w:hAnsi="Times New Roman"/>
          <w:b w:val="false"/>
          <w:i w:val="false"/>
          <w:color w:val="000000"/>
          <w:sz w:val="21"/>
        </w:rPr>
        <w:t xml:space="preserve"> (Notice ARC 7367B, IAB 11/19/08)</w:t>
      </w:r>
      <w:r>
        <w:rPr>
          <w:rFonts w:ascii="Times New Roman" w:hAnsi="Times New Roman"/>
          <w:b w:val="false"/>
          <w:i w:val="false"/>
          <w:color w:val="000000"/>
          <w:sz w:val="21"/>
        </w:rPr>
        <w:t>, IAB 2/11/09, effective 1/14/09]</w:t>
      </w:r>
      <w:r>
        <w:br/>
      </w:r>
      <w:r>
        <w:rPr>
          <w:rFonts w:ascii="Times New Roman" w:hAnsi="Times New Roman"/>
          <w:b w:val="false"/>
          <w:i w:val="false"/>
          <w:color w:val="000000"/>
          <w:sz w:val="21"/>
        </w:rPr>
        <w:t>[Filed ARC 7547B</w:t>
      </w:r>
      <w:r>
        <w:rPr>
          <w:rFonts w:ascii="Times New Roman" w:hAnsi="Times New Roman"/>
          <w:b w:val="false"/>
          <w:i w:val="false"/>
          <w:color w:val="000000"/>
          <w:sz w:val="21"/>
        </w:rPr>
        <w:t xml:space="preserve"> (Notice ARC 7355B,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7740B</w:t>
      </w:r>
      <w:r>
        <w:rPr>
          <w:rFonts w:ascii="Times New Roman" w:hAnsi="Times New Roman"/>
          <w:b w:val="false"/>
          <w:i w:val="false"/>
          <w:color w:val="000000"/>
          <w:sz w:val="21"/>
        </w:rPr>
        <w:t xml:space="preserve"> (Notice ARC 7590B, IAB 2/25/09)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8260B</w:t>
      </w:r>
      <w:r>
        <w:rPr>
          <w:rFonts w:ascii="Times New Roman" w:hAnsi="Times New Roman"/>
          <w:b w:val="false"/>
          <w:i w:val="false"/>
          <w:color w:val="000000"/>
          <w:sz w:val="21"/>
        </w:rPr>
        <w:t xml:space="preserve"> (Notice ARC 8056B, IAB 8/26/09)</w:t>
      </w:r>
      <w:r>
        <w:rPr>
          <w:rFonts w:ascii="Times New Roman" w:hAnsi="Times New Roman"/>
          <w:b w:val="false"/>
          <w:i w:val="false"/>
          <w:color w:val="000000"/>
          <w:sz w:val="21"/>
        </w:rPr>
        <w:t>, IAB 11/4/09, effective 1/1/10]</w:t>
      </w:r>
    </w:p>
    <w:p>
      <w:pPr>
        <w:spacing w:before="0" w:after="0"/>
        <w:ind w:left="120"/>
        <w:jc w:val="center"/>
      </w:pPr>
      <w:r>
        <w:rPr>
          <w:rFonts w:ascii="Times New Roman" w:hAnsi="Times New Roman"/>
          <w:b w:val="false"/>
          <w:i w:val="false"/>
          <w:color w:val="000000"/>
          <w:sz w:val="21"/>
        </w:rPr>
        <w:t>[Filed ARC 8343B</w:t>
      </w:r>
      <w:r>
        <w:rPr>
          <w:rFonts w:ascii="Times New Roman" w:hAnsi="Times New Roman"/>
          <w:b w:val="false"/>
          <w:i w:val="false"/>
          <w:color w:val="000000"/>
          <w:sz w:val="21"/>
        </w:rPr>
        <w:t xml:space="preserve"> (Notice ARC 8113B, IAB 9/9/09)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8439B</w:t>
      </w:r>
      <w:r>
        <w:rPr>
          <w:rFonts w:ascii="Times New Roman" w:hAnsi="Times New Roman"/>
          <w:b w:val="false"/>
          <w:i w:val="false"/>
          <w:color w:val="000000"/>
          <w:sz w:val="21"/>
        </w:rPr>
        <w:t xml:space="preserve"> (Notice ARC 8083B, IAB 8/26/09)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ARC 8642B</w:t>
      </w:r>
      <w:r>
        <w:rPr>
          <w:rFonts w:ascii="Times New Roman" w:hAnsi="Times New Roman"/>
          <w:b w:val="false"/>
          <w:i w:val="false"/>
          <w:color w:val="000000"/>
          <w:sz w:val="21"/>
        </w:rPr>
        <w:t xml:space="preserve"> (Notice ARC 8461B, IAB 1/13/10)</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Emergency After Notice ARC 8786B</w:t>
      </w:r>
      <w:r>
        <w:rPr>
          <w:rFonts w:ascii="Times New Roman" w:hAnsi="Times New Roman"/>
          <w:b w:val="false"/>
          <w:i w:val="false"/>
          <w:color w:val="000000"/>
          <w:sz w:val="21"/>
        </w:rPr>
        <w:t xml:space="preserve"> (Notice ARC 8552B, IAB 2/24/10)</w:t>
      </w:r>
      <w:r>
        <w:rPr>
          <w:rFonts w:ascii="Times New Roman" w:hAnsi="Times New Roman"/>
          <w:b w:val="false"/>
          <w:i w:val="false"/>
          <w:color w:val="000000"/>
          <w:sz w:val="21"/>
        </w:rPr>
        <w:t>, IAB 6/2/10, effective 6/1/10]</w:t>
      </w:r>
    </w:p>
    <w:p>
      <w:pPr>
        <w:spacing w:before="0" w:after="0"/>
        <w:ind w:left="120"/>
        <w:jc w:val="center"/>
      </w:pPr>
      <w:r>
        <w:rPr>
          <w:rFonts w:ascii="Times New Roman" w:hAnsi="Times New Roman"/>
          <w:b w:val="false"/>
          <w:i w:val="false"/>
          <w:color w:val="000000"/>
          <w:sz w:val="21"/>
        </w:rPr>
        <w:t>[Filed Emergency ARC 9701B, IAB 9/7/11, effective 9/1/11]</w:t>
      </w:r>
    </w:p>
    <w:p>
      <w:pPr>
        <w:spacing w:before="0" w:after="0"/>
        <w:ind w:left="120"/>
        <w:jc w:val="center"/>
      </w:pPr>
      <w:r>
        <w:rPr>
          <w:rFonts w:ascii="Times New Roman" w:hAnsi="Times New Roman"/>
          <w:b w:val="false"/>
          <w:i w:val="false"/>
          <w:color w:val="000000"/>
          <w:sz w:val="21"/>
        </w:rPr>
        <w:t>[Filed ARC 0150C</w:t>
      </w:r>
      <w:r>
        <w:rPr>
          <w:rFonts w:ascii="Times New Roman" w:hAnsi="Times New Roman"/>
          <w:b w:val="false"/>
          <w:i w:val="false"/>
          <w:color w:val="000000"/>
          <w:sz w:val="21"/>
        </w:rPr>
        <w:t xml:space="preserve"> (Notice ARC 0039C,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Emergency After Notice ARC 1069C</w:t>
      </w:r>
      <w:r>
        <w:rPr>
          <w:rFonts w:ascii="Times New Roman" w:hAnsi="Times New Roman"/>
          <w:b w:val="false"/>
          <w:i w:val="false"/>
          <w:color w:val="000000"/>
          <w:sz w:val="21"/>
        </w:rPr>
        <w:t xml:space="preserve"> (Notice ARC 0908C, IAB 8/7/13)</w:t>
      </w:r>
      <w:r>
        <w:rPr>
          <w:rFonts w:ascii="Times New Roman" w:hAnsi="Times New Roman"/>
          <w:b w:val="false"/>
          <w:i w:val="false"/>
          <w:color w:val="000000"/>
          <w:sz w:val="21"/>
        </w:rPr>
        <w:t>, IAB 10/2/13, effective 10/1/13]</w:t>
      </w:r>
    </w:p>
    <w:p>
      <w:pPr>
        <w:spacing w:before="0" w:after="0"/>
        <w:ind w:left="120"/>
        <w:jc w:val="center"/>
      </w:pPr>
      <w:r>
        <w:rPr>
          <w:rFonts w:ascii="Times New Roman" w:hAnsi="Times New Roman"/>
          <w:b w:val="false"/>
          <w:i w:val="false"/>
          <w:color w:val="000000"/>
          <w:sz w:val="21"/>
        </w:rPr>
        <w:t>[Filed Emergency ARC 3353C, IAB 10/11/17, effective 10/1/17]</w:t>
      </w:r>
      <w:r>
        <w:br/>
      </w:r>
      <w:r>
        <w:rPr>
          <w:rFonts w:ascii="Times New Roman" w:hAnsi="Times New Roman"/>
          <w:b w:val="false"/>
          <w:i w:val="false"/>
          <w:color w:val="000000"/>
          <w:sz w:val="21"/>
        </w:rPr>
        <w:t>[Filed Emergency ARC 3354C, IAB 10/11/17, effective 10/1/17]</w:t>
      </w:r>
    </w:p>
    <w:p>
      <w:pPr>
        <w:spacing w:before="0" w:after="0"/>
        <w:ind w:left="120"/>
        <w:jc w:val="center"/>
      </w:pP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3550C</w:t>
      </w:r>
      <w:r>
        <w:rPr>
          <w:rFonts w:ascii="Times New Roman" w:hAnsi="Times New Roman"/>
          <w:b w:val="false"/>
          <w:i w:val="false"/>
          <w:color w:val="000000"/>
          <w:sz w:val="21"/>
        </w:rPr>
        <w:t xml:space="preserve"> (Notice ARC 3356C,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4208C</w:t>
      </w:r>
      <w:r>
        <w:rPr>
          <w:rFonts w:ascii="Times New Roman" w:hAnsi="Times New Roman"/>
          <w:b w:val="false"/>
          <w:i w:val="false"/>
          <w:color w:val="000000"/>
          <w:sz w:val="21"/>
        </w:rPr>
        <w:t xml:space="preserve"> (Notice ARC 4106C,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9702C</w:t>
      </w:r>
      <w:r>
        <w:rPr>
          <w:rFonts w:ascii="Times New Roman" w:hAnsi="Times New Roman"/>
          <w:b w:val="false"/>
          <w:i w:val="false"/>
          <w:color w:val="000000"/>
          <w:sz w:val="21"/>
        </w:rPr>
        <w:t xml:space="preserve"> (Notice ARC 9551C, IAB 9/17/25)</w:t>
      </w:r>
      <w:r>
        <w:rPr>
          <w:rFonts w:ascii="Times New Roman" w:hAnsi="Times New Roman"/>
          <w:b w:val="false"/>
          <w:i w:val="false"/>
          <w:color w:val="000000"/>
          <w:sz w:val="21"/>
        </w:rPr>
        <w:t>, IAB 11/12/25, effective 1/1/26]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 delay lifted by this Committee, effective May 11, 1990.</w:t>
      </w:r>
    </w:p>
    <w:sectPr>
      <w:footerReference r:id="rId9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5.1.pdf" Type="http://schemas.openxmlformats.org/officeDocument/2006/relationships/hyperlink" Id="rId5"/>
    <Relationship TargetMode="External" Target="https://www.legis.iowa.gov/docs/iac/rule/441.76.9.pdf" Type="http://schemas.openxmlformats.org/officeDocument/2006/relationships/hyperlink" Id="rId6"/>
    <Relationship TargetMode="External" Target="http://healthcare.gov" Type="http://schemas.openxmlformats.org/officeDocument/2006/relationships/hyperlink" Id="rId7"/>
    <Relationship TargetMode="External" Target="https://www.legis.iowa.gov/docs/iac/rule/441.76.7.pdf" Type="http://schemas.openxmlformats.org/officeDocument/2006/relationships/hyperlink" Id="rId8"/>
    <Relationship TargetMode="External" Target="https://www.legis.iowa.gov/docs/iac/rule/441.76.9.pdf" Type="http://schemas.openxmlformats.org/officeDocument/2006/relationships/hyperlink" Id="rId9"/>
    <Relationship TargetMode="External" Target="https://www.legis.iowa.gov/docs/iac/rule/441.75.1.pdf" Type="http://schemas.openxmlformats.org/officeDocument/2006/relationships/hyperlink" Id="rId10"/>
    <Relationship TargetMode="External" Target="https://www.legis.iowa.gov/docs/iac/rule/441.75.1.pdf" Type="http://schemas.openxmlformats.org/officeDocument/2006/relationships/hyperlink" Id="rId11"/>
    <Relationship TargetMode="External" Target="https://www.legis.iowa.gov/docs/iac/rule/441.75.1.pdf" Type="http://schemas.openxmlformats.org/officeDocument/2006/relationships/hyperlink" Id="rId12"/>
    <Relationship TargetMode="External" Target="https://www.legis.iowa.gov/docs/iac/rule/441.75.51.pdf" Type="http://schemas.openxmlformats.org/officeDocument/2006/relationships/hyperlink" Id="rId13"/>
    <Relationship TargetMode="External" Target="https://www.legis.iowa.gov/docs/iac/rule/441.76.9.pdf" Type="http://schemas.openxmlformats.org/officeDocument/2006/relationships/hyperlink" Id="rId14"/>
    <Relationship TargetMode="External" Target="https://www.legis.iowa.gov/docs/iac/rule/441.76.9.pdf" Type="http://schemas.openxmlformats.org/officeDocument/2006/relationships/hyperlink" Id="rId15"/>
    <Relationship TargetMode="External" Target="http://www.healthcare.gov" Type="http://schemas.openxmlformats.org/officeDocument/2006/relationships/hyperlink" Id="rId16"/>
    <Relationship TargetMode="External" Target="https://www.legis.iowa.gov/docs/iac/rule/441.76.7.pdf" Type="http://schemas.openxmlformats.org/officeDocument/2006/relationships/hyperlink" Id="rId17"/>
    <Relationship TargetMode="External" Target="https://www.legis.iowa.gov/docs/iac/rule/441.76.2.pdf" Type="http://schemas.openxmlformats.org/officeDocument/2006/relationships/hyperlink" Id="rId18"/>
    <Relationship TargetMode="External" Target="https://www.legis.iowa.gov/docs/iac/rule/441.76.2.pdf" Type="http://schemas.openxmlformats.org/officeDocument/2006/relationships/hyperlink" Id="rId19"/>
    <Relationship TargetMode="External" Target="https://www.legis.iowa.gov/docs/iac/rule/441.76.7.pdf" Type="http://schemas.openxmlformats.org/officeDocument/2006/relationships/hyperlink" Id="rId20"/>
    <Relationship TargetMode="External" Target="https://www.legis.iowa.gov/docs/iac/rule/441.76.3.pdf" Type="http://schemas.openxmlformats.org/officeDocument/2006/relationships/hyperlink" Id="rId21"/>
    <Relationship TargetMode="External" Target="https://www.legis.iowa.gov/docs/iac/chapter/441.16.pdf" Type="http://schemas.openxmlformats.org/officeDocument/2006/relationships/hyperlink" Id="rId22"/>
    <Relationship TargetMode="External" Target="https://www.legis.iowa.gov/docs/iac/rule/441.76.2.pdf" Type="http://schemas.openxmlformats.org/officeDocument/2006/relationships/hyperlink" Id="rId23"/>
    <Relationship TargetMode="External" Target="https://www.legis.iowa.gov/docs/iac/chapter/441.65.pdf" Type="http://schemas.openxmlformats.org/officeDocument/2006/relationships/hyperlink" Id="rId24"/>
    <Relationship TargetMode="External" Target="https://www.legis.iowa.gov/docs/iac/rule/441.75.3.pdf" Type="http://schemas.openxmlformats.org/officeDocument/2006/relationships/hyperlink" Id="rId25"/>
    <Relationship TargetMode="External" Target="https://www.legis.iowa.gov/docs/iac/chapter/441.65.pdf" Type="http://schemas.openxmlformats.org/officeDocument/2006/relationships/hyperlink" Id="rId26"/>
    <Relationship TargetMode="External" Target="https://www.legis.iowa.gov/docs/iac/rule/441.75.11.pdf" Type="http://schemas.openxmlformats.org/officeDocument/2006/relationships/hyperlink" Id="rId27"/>
    <Relationship TargetMode="External" Target="https://www.legis.iowa.gov/docs/iac/rule/441.76.13.pdf" Type="http://schemas.openxmlformats.org/officeDocument/2006/relationships/hyperlink" Id="rId28"/>
    <Relationship TargetMode="External" Target="https://www.legis.iowa.gov/docs/iac/rule/441.76.7.pdf" Type="http://schemas.openxmlformats.org/officeDocument/2006/relationships/hyperlink" Id="rId29"/>
    <Relationship TargetMode="External" Target="https://www.legis.iowa.gov/docs/iac/rule/441.76.7.pdf" Type="http://schemas.openxmlformats.org/officeDocument/2006/relationships/hyperlink" Id="rId30"/>
    <Relationship TargetMode="External" Target="https://www.legis.iowa.gov/docs/iac/rule/441.76.2.pdf" Type="http://schemas.openxmlformats.org/officeDocument/2006/relationships/hyperlink" Id="rId31"/>
    <Relationship TargetMode="External" Target="https://www.legis.iowa.gov/docs/iac/rule/441.76.2.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ac/chapter/441.2506.pdf" Type="http://schemas.openxmlformats.org/officeDocument/2006/relationships/hyperlink" Id="rId34"/>
    <Relationship TargetMode="External" Target="https://www.legis.iowa.gov/docs/iac/chapter/441.16.pdf" Type="http://schemas.openxmlformats.org/officeDocument/2006/relationships/hyperlink" Id="rId35"/>
    <Relationship TargetMode="External" Target="https://www.legis.iowa.gov/docs/iac/rule/441.76.8.pdf" Type="http://schemas.openxmlformats.org/officeDocument/2006/relationships/hyperlink" Id="rId36"/>
    <Relationship TargetMode="External" Target="https://www.legis.iowa.gov/docs/iac/rule/441.76.8.pdf" Type="http://schemas.openxmlformats.org/officeDocument/2006/relationships/hyperlink" Id="rId37"/>
    <Relationship TargetMode="External" Target="https://www.legis.iowa.gov/docs/iac/rule/441.76.9.pdf" Type="http://schemas.openxmlformats.org/officeDocument/2006/relationships/hyperlink" Id="rId38"/>
    <Relationship TargetMode="External" Target="https://www.legis.iowa.gov/docs/iac/rule/441.76.9.pdf" Type="http://schemas.openxmlformats.org/officeDocument/2006/relationships/hyperlink" Id="rId39"/>
    <Relationship TargetMode="External" Target="https://www.legis.iowa.gov/docs/iac/rule/441.76.2.pdf" Type="http://schemas.openxmlformats.org/officeDocument/2006/relationships/hyperlink" Id="rId40"/>
    <Relationship TargetMode="External" Target="https://www.legis.iowa.gov/docs/iac/rule/441.76.9.pdf" Type="http://schemas.openxmlformats.org/officeDocument/2006/relationships/hyperlink" Id="rId41"/>
    <Relationship TargetMode="External" Target="https://www.legis.iowa.gov/docs/iac/rule/441.79.6.pdf" Type="http://schemas.openxmlformats.org/officeDocument/2006/relationships/hyperlink" Id="rId42"/>
    <Relationship TargetMode="External" Target="https://www.legis.iowa.gov/docs/iac/rule/441.76.9.pdf" Type="http://schemas.openxmlformats.org/officeDocument/2006/relationships/hyperlink" Id="rId43"/>
    <Relationship TargetMode="External" Target="https://www.legis.iowa.gov/docs/iac/rule/441.76.9.pdf" Type="http://schemas.openxmlformats.org/officeDocument/2006/relationships/hyperlink" Id="rId44"/>
    <Relationship TargetMode="External" Target="https://www.legis.iowa.gov/docs/iac/rule/441.75.8.pdf" Type="http://schemas.openxmlformats.org/officeDocument/2006/relationships/hyperlink" Id="rId45"/>
    <Relationship TargetMode="External" Target="https://www.legis.iowa.gov/docs/iac/rule/441.75.14.pdf" Type="http://schemas.openxmlformats.org/officeDocument/2006/relationships/hyperlink" Id="rId46"/>
    <Relationship TargetMode="External" Target="https://www.legis.iowa.gov/docs/iac/rule/441.75.14.pdf" Type="http://schemas.openxmlformats.org/officeDocument/2006/relationships/hyperlink" Id="rId47"/>
    <Relationship TargetMode="External" Target="https://www.legis.iowa.gov/docs/iac/rule/441.75.9.pdf" Type="http://schemas.openxmlformats.org/officeDocument/2006/relationships/hyperlink" Id="rId48"/>
    <Relationship TargetMode="External" Target="https://www.legis.iowa.gov/docs/iac/rule/441.76.7.pdf" Type="http://schemas.openxmlformats.org/officeDocument/2006/relationships/hyperlink" Id="rId49"/>
    <Relationship TargetMode="External" Target="https://www.legis.iowa.gov/docs/iac/rule/441.75.6.pdf" Type="http://schemas.openxmlformats.org/officeDocument/2006/relationships/hyperlink" Id="rId50"/>
    <Relationship TargetMode="External" Target="https://www.legis.iowa.gov/docs/iac/rule/441.76.13.pdf" Type="http://schemas.openxmlformats.org/officeDocument/2006/relationships/hyperlink" Id="rId51"/>
    <Relationship TargetMode="External" Target="https://www.legis.iowa.gov/docs/iac/rule/441.75.11.pdf" Type="http://schemas.openxmlformats.org/officeDocument/2006/relationships/hyperlink" Id="rId52"/>
    <Relationship TargetMode="External" Target="https://www.legis.iowa.gov/docs/iac/rule/441.76.13.pdf" Type="http://schemas.openxmlformats.org/officeDocument/2006/relationships/hyperlink" Id="rId53"/>
    <Relationship TargetMode="External" Target="https://www.legis.iowa.gov/docs/ico/chapter/135C.pdf" Type="http://schemas.openxmlformats.org/officeDocument/2006/relationships/hyperlink" Id="rId54"/>
    <Relationship TargetMode="External" Target="https://www.legis.iowa.gov/docs/iac/rule/441.76.13.pdf" Type="http://schemas.openxmlformats.org/officeDocument/2006/relationships/hyperlink" Id="rId55"/>
    <Relationship TargetMode="External" Target="https://www.legis.iowa.gov/docs/iac/chapter/441.75.pdf" Type="http://schemas.openxmlformats.org/officeDocument/2006/relationships/hyperlink" Id="rId56"/>
    <Relationship TargetMode="External" Target="https://www.legis.iowa.gov/docs/iac/rule/441.76.15.pdf" Type="http://schemas.openxmlformats.org/officeDocument/2006/relationships/hyperlink" Id="rId57"/>
    <Relationship TargetMode="External" Target="https://www.legis.iowa.gov/docs/iac/rule/441.76.14.pdf" Type="http://schemas.openxmlformats.org/officeDocument/2006/relationships/hyperlink" Id="rId58"/>
    <Relationship TargetMode="External" Target="https://www.legis.iowa.gov/docs/iac/rule/441.75.3.pdf" Type="http://schemas.openxmlformats.org/officeDocument/2006/relationships/hyperlink" Id="rId59"/>
    <Relationship TargetMode="External" Target="https://www.legis.iowa.gov/docs/iac/rule/441.75.3.pdf" Type="http://schemas.openxmlformats.org/officeDocument/2006/relationships/hyperlink" Id="rId60"/>
    <Relationship TargetMode="External" Target="https://www.legis.iowa.gov/docs/iac/rule/441.75.3.pdf" Type="http://schemas.openxmlformats.org/officeDocument/2006/relationships/hyperlink" Id="rId61"/>
    <Relationship TargetMode="External" Target="https://www.legis.iowa.gov/docs/iac/rule/441.76.15.pdf" Type="http://schemas.openxmlformats.org/officeDocument/2006/relationships/hyperlink" Id="rId62"/>
    <Relationship TargetMode="External" Target="https://www.legis.iowa.gov/docs/iac/rule/441.76.14.pdf" Type="http://schemas.openxmlformats.org/officeDocument/2006/relationships/hyperlink" Id="rId63"/>
    <Relationship TargetMode="External" Target="https://www.legis.iowa.gov/docs/iac/rule/441.76.2.pdf" Type="http://schemas.openxmlformats.org/officeDocument/2006/relationships/hyperlink" Id="rId64"/>
    <Relationship TargetMode="External" Target="https://www.legis.iowa.gov/docs/iac/rule/441.76.8.pdf" Type="http://schemas.openxmlformats.org/officeDocument/2006/relationships/hyperlink" Id="rId65"/>
    <Relationship TargetMode="External" Target="https://www.legis.iowa.gov/docs/iac/chapter/441.16.pdf" Type="http://schemas.openxmlformats.org/officeDocument/2006/relationships/hyperlink" Id="rId66"/>
    <Relationship TargetMode="External" Target="https://www.legis.iowa.gov/docs/iac/rule/441.76.12.pdf" Type="http://schemas.openxmlformats.org/officeDocument/2006/relationships/hyperlink" Id="rId67"/>
    <Relationship TargetMode="External" Target="https://www.legis.iowa.gov/docs/iac/rule/441.76.14.pdf" Type="http://schemas.openxmlformats.org/officeDocument/2006/relationships/hyperlink" Id="rId68"/>
    <Relationship TargetMode="External" Target="https://www.legis.iowa.gov/docs/iac/rule/441.76.14.pdf" Type="http://schemas.openxmlformats.org/officeDocument/2006/relationships/hyperlink" Id="rId69"/>
    <Relationship TargetMode="External" Target="https://www.legis.iowa.gov/docs/iac/rule/441.76.14.pdf" Type="http://schemas.openxmlformats.org/officeDocument/2006/relationships/hyperlink" Id="rId70"/>
    <Relationship TargetMode="External" Target="https://www.legis.iowa.gov/docs/iac/rule/441.76.14.pdf" Type="http://schemas.openxmlformats.org/officeDocument/2006/relationships/hyperlink" Id="rId71"/>
    <Relationship TargetMode="External" Target="https://www.legis.iowa.gov/docs/iac/rule/441.76.14.pdf" Type="http://schemas.openxmlformats.org/officeDocument/2006/relationships/hyperlink" Id="rId72"/>
    <Relationship TargetMode="External" Target="https://www.legis.iowa.gov/docs/iac/rule/441.76.13.pdf" Type="http://schemas.openxmlformats.org/officeDocument/2006/relationships/hyperlink" Id="rId73"/>
    <Relationship TargetMode="External" Target="https://www.legis.iowa.gov/docs/iac/rule/441.75.1.pdf" Type="http://schemas.openxmlformats.org/officeDocument/2006/relationships/hyperlink" Id="rId74"/>
    <Relationship TargetMode="External" Target="https://www.legis.iowa.gov/docs/iac/rule/441.76.15.pdf" Type="http://schemas.openxmlformats.org/officeDocument/2006/relationships/hyperlink" Id="rId75"/>
    <Relationship TargetMode="External" Target="https://www.legis.iowa.gov/docs/iac/rule/441.76.16.pdf" Type="http://schemas.openxmlformats.org/officeDocument/2006/relationships/hyperlink" Id="rId76"/>
    <Relationship TargetMode="External" Target="https://www.legis.iowa.gov/docs/iac/rule/441.76.16.pdf" Type="http://schemas.openxmlformats.org/officeDocument/2006/relationships/hyperlink" Id="rId77"/>
    <Relationship TargetMode="External" Target="https://www.legis.iowa.gov/docs/iac/chapter/441.75.pdf" Type="http://schemas.openxmlformats.org/officeDocument/2006/relationships/hyperlink" Id="rId78"/>
    <Relationship TargetMode="External" Target="https://www.legis.iowa.gov/docs/iac/rule/441.16.2.pdf" Type="http://schemas.openxmlformats.org/officeDocument/2006/relationships/hyperlink" Id="rId79"/>
    <Relationship TargetMode="External" Target="https://www.legis.iowa.gov/docs/iac/rule/441.76.12.pdf" Type="http://schemas.openxmlformats.org/officeDocument/2006/relationships/hyperlink" Id="rId80"/>
    <Relationship TargetMode="External" Target="https://www.legis.iowa.gov/docs/iac/rule/441.75.6.pdf" Type="http://schemas.openxmlformats.org/officeDocument/2006/relationships/hyperlink" Id="rId81"/>
    <Relationship TargetMode="External" Target="https://www.legis.iowa.gov/docs/iac/rule/441.75.6.pdf" Type="http://schemas.openxmlformats.org/officeDocument/2006/relationships/hyperlink" Id="rId82"/>
    <Relationship TargetMode="External" Target="https://www.legis.iowa.gov/docs/iac/rule/441.76.17.pdf" Type="http://schemas.openxmlformats.org/officeDocument/2006/relationships/hyperlink" Id="rId83"/>
    <Relationship TargetMode="External" Target="https://www.legis.iowa.gov/docs/iac/rule/441.76.8.pdf" Type="http://schemas.openxmlformats.org/officeDocument/2006/relationships/hyperlink" Id="rId84"/>
    <Relationship TargetMode="External" Target="https://www.legis.iowa.gov/docs/iac/rule/441.76.14.pdf" Type="http://schemas.openxmlformats.org/officeDocument/2006/relationships/hyperlink" Id="rId85"/>
    <Relationship TargetMode="External" Target="https://www.legis.iowa.gov/docs/iac/rule/441.76.16.pdf" Type="http://schemas.openxmlformats.org/officeDocument/2006/relationships/hyperlink" Id="rId86"/>
    <Relationship TargetMode="External" Target="https://www.legis.iowa.gov/docs/iac/rule/441.76.14.pdf" Type="http://schemas.openxmlformats.org/officeDocument/2006/relationships/hyperlink" Id="rId87"/>
    <Relationship TargetMode="External" Target="https://www.legis.iowa.gov/docs/iac/rule/441.76.16.pdf" Type="http://schemas.openxmlformats.org/officeDocument/2006/relationships/hyperlink" Id="rId88"/>
    <Relationship TargetMode="External" Target="https://www.legis.iowa.gov/docs/ico/chapter/249A.pdf" Type="http://schemas.openxmlformats.org/officeDocument/2006/relationships/hyperlink" Id="rId89"/>
    <Relationship Target="footer.xml" Type="http://schemas.openxmlformats.org/officeDocument/2006/relationships/footer" Id="rId9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