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CONDITIONS OF ELIGIBILITY</w:t>
      </w:r>
    </w:p>
    <w:p>
      <w:pPr>
        <w:spacing w:before="0" w:after="0"/>
        <w:ind w:left="120"/>
        <w:jc w:val="center"/>
      </w:pPr>
      <w:r>
        <w:rPr>
          <w:rFonts w:ascii="Times New Roman" w:hAnsi="Times New Roman"/>
          <w:b w:val="false"/>
          <w:i w:val="false"/>
          <w:color w:val="000000"/>
          <w:sz w:val="14"/>
        </w:rPr>
        <w:t>[Ch 75, 1973 IDR, renumbered as Ch 90]</w:t>
      </w:r>
    </w:p>
    <w:p>
      <w:pPr>
        <w:spacing w:before="0" w:after="0"/>
        <w:ind w:left="120"/>
        <w:jc w:val="center"/>
      </w:pPr>
      <w:r>
        <w:rPr>
          <w:rFonts w:ascii="Times New Roman" w:hAnsi="Times New Roman"/>
          <w:b w:val="false"/>
          <w:i w:val="false"/>
          <w:color w:val="000000"/>
          <w:sz w:val="14"/>
        </w:rPr>
        <w:t>[Prior to 7/1/83, Social Services[770] Ch 75]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 COVERAGE GROUPS, AND GENERAL CONDITIONS OF ELIGIBILITY</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specified, the definitions in this rule apply to </w:t>
      </w:r>
      <w:hyperlink r:id="rId5">
        <w:r>
          <w:rPr>
            <w:rStyle w:val="Hyperlink"/>
            <w:rFonts w:ascii="Times New Roman" w:hAnsi="Times New Roman"/>
            <w:b w:val="false"/>
            <w:i w:val="false"/>
            <w:color w:val="000000"/>
            <w:sz w:val="22"/>
          </w:rPr>
          <w:t>441—Chapters 74</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means the federal Social Security Act. All references to the Act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“Aged”</w:t>
      </w:r>
      <w:r>
        <w:rPr>
          <w:rFonts w:ascii="Times New Roman" w:hAnsi="Times New Roman"/>
          <w:b w:val="false"/>
          <w:i w:val="false"/>
          <w:color w:val="000000"/>
          <w:sz w:val="22"/>
        </w:rPr>
        <w:t> </w:t>
      </w:r>
      <w:r>
        <w:rPr>
          <w:rFonts w:ascii="Times New Roman" w:hAnsi="Times New Roman"/>
          <w:b w:val="false"/>
          <w:i w:val="false"/>
          <w:color w:val="000000"/>
          <w:sz w:val="22"/>
        </w:rPr>
        <w:t>means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requesting medical assistance on the person’s own behalf or a person for whom medical assistance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“asset verification system”</w:t>
      </w:r>
      <w:r>
        <w:rPr>
          <w:rFonts w:ascii="Times New Roman" w:hAnsi="Times New Roman"/>
          <w:b w:val="false"/>
          <w:i w:val="false"/>
          <w:color w:val="000000"/>
          <w:sz w:val="22"/>
        </w:rPr>
        <w:t> </w:t>
      </w:r>
      <w:r>
        <w:rPr>
          <w:rFonts w:ascii="Times New Roman" w:hAnsi="Times New Roman"/>
          <w:b w:val="false"/>
          <w:i w:val="false"/>
          <w:color w:val="000000"/>
          <w:sz w:val="22"/>
        </w:rPr>
        <w:t>means the use of an electronic asset data source to verify assets held in banks and other financial institutions for non-MAGI.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“Blind”</w:t>
      </w:r>
      <w:r>
        <w:rPr>
          <w:rFonts w:ascii="Times New Roman" w:hAnsi="Times New Roman"/>
          <w:b w:val="false"/>
          <w:i w:val="false"/>
          <w:color w:val="000000"/>
          <w:sz w:val="22"/>
        </w:rPr>
        <w:t> </w:t>
      </w:r>
      <w:r>
        <w:rPr>
          <w:rFonts w:ascii="Times New Roman" w:hAnsi="Times New Roman"/>
          <w:b w:val="false"/>
          <w:i w:val="false"/>
          <w:color w:val="000000"/>
          <w:sz w:val="22"/>
        </w:rPr>
        <w:t>means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whom a child is living and who assumes primary responsibility for the child’s care. For this purpose, two individuals may be considered to have assumed primary responsibility for a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in income”</w:t>
      </w:r>
      <w:r>
        <w:rPr>
          <w:rFonts w:ascii="Times New Roman" w:hAnsi="Times New Roman"/>
          <w:b w:val="false"/>
          <w:i w:val="false"/>
          <w:color w:val="000000"/>
          <w:sz w:val="22"/>
        </w:rPr>
        <w:t>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natural or biological child, or an individual legally recognized as the child of a parent based on the conception, gestation, or birth of the child during a legal marriage; an adoptive child; or a child of an individual’s spouse (stepchild)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Medicaid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Medicaid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person whose income or assets are considered in determining eligibility for an applicant or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Code of Federal Regulations. All references to the CFR herein are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spouse”</w:t>
      </w:r>
      <w:r>
        <w:rPr>
          <w:rFonts w:ascii="Times New Roman" w:hAnsi="Times New Roman"/>
          <w:b w:val="false"/>
          <w:i w:val="false"/>
          <w:color w:val="000000"/>
          <w:sz w:val="22"/>
        </w:rPr>
        <w:t> </w:t>
      </w:r>
      <w:r>
        <w:rPr>
          <w:rFonts w:ascii="Times New Roman" w:hAnsi="Times New Roman"/>
          <w:b w:val="false"/>
          <w:i w:val="false"/>
          <w:color w:val="000000"/>
          <w:sz w:val="22"/>
        </w:rPr>
        <w:t>means a noninstitutionalized spouse of an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“Conditionally eligible”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 person has been assigned but not met spenddown as defined in subrule </w:t>
      </w:r>
      <w:hyperlink r:id="rId7">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xml:space="preserve">, or has been assigned a monthly premium but has not yet paid the premium for that month pursuant to subparagraph </w:t>
      </w:r>
      <w:hyperlink r:id="rId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“Coverage group”</w:t>
      </w:r>
      <w:r>
        <w:rPr>
          <w:rFonts w:ascii="Times New Roman" w:hAnsi="Times New Roman"/>
          <w:b w:val="false"/>
          <w:i w:val="false"/>
          <w:color w:val="000000"/>
          <w:sz w:val="22"/>
        </w:rPr>
        <w:t> </w:t>
      </w:r>
      <w:r>
        <w:rPr>
          <w:rFonts w:ascii="Times New Roman" w:hAnsi="Times New Roman"/>
          <w:b w:val="false"/>
          <w:i w:val="false"/>
          <w:color w:val="000000"/>
          <w:sz w:val="22"/>
        </w:rPr>
        <w:t>means a group of persons who meet certain common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“dependent children”</w:t>
      </w:r>
      <w:r>
        <w:rPr>
          <w:rFonts w:ascii="Times New Roman" w:hAnsi="Times New Roman"/>
          <w:b w:val="false"/>
          <w:i w:val="false"/>
          <w:color w:val="000000"/>
          <w:sz w:val="22"/>
        </w:rPr>
        <w:t> </w:t>
      </w:r>
      <w:r>
        <w:rPr>
          <w:rFonts w:ascii="Times New Roman" w:hAnsi="Times New Roman"/>
          <w:b w:val="false"/>
          <w:i w:val="false"/>
          <w:color w:val="000000"/>
          <w:sz w:val="22"/>
        </w:rPr>
        <w:t>means a child or children who meet the nonfinancial eligibility requirements of the applicable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data 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“EDS”</w:t>
      </w:r>
      <w:r>
        <w:rPr>
          <w:rFonts w:ascii="Times New Roman" w:hAnsi="Times New Roman"/>
          <w:b w:val="false"/>
          <w:i w:val="false"/>
          <w:color w:val="000000"/>
          <w:sz w:val="22"/>
        </w:rPr>
        <w:t> </w:t>
      </w:r>
      <w:r>
        <w:rPr>
          <w:rFonts w:ascii="Times New Roman" w:hAnsi="Times New Roman"/>
          <w:b w:val="false"/>
          <w:i w:val="false"/>
          <w:color w:val="000000"/>
          <w:sz w:val="22"/>
        </w:rPr>
        <w:t>means federal and state data sources with which the department conducts data matches for the purpose of determining eligibility. Federal data sources include the Internal Revenue Service (IRS), the Social Security Administration (SSA) and the United States Department of Homeland Security. State data sources include Iowa workforce development (IWD) wage and unemployment compensation, SSA, IRS, and the Public Assistance Reporting Information System (PARIS).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“Family-related Medicaid”</w:t>
      </w:r>
      <w:r>
        <w:rPr>
          <w:rFonts w:ascii="Times New Roman" w:hAnsi="Times New Roman"/>
          <w:b w:val="false"/>
          <w:i w:val="false"/>
          <w:color w:val="000000"/>
          <w:sz w:val="22"/>
        </w:rPr>
        <w:t> </w:t>
      </w:r>
      <w:r>
        <w:rPr>
          <w:rFonts w:ascii="Times New Roman" w:hAnsi="Times New Roman"/>
          <w:b w:val="false"/>
          <w:i w:val="false"/>
          <w:color w:val="000000"/>
          <w:sz w:val="22"/>
        </w:rPr>
        <w:t>includes coverage groups that apply to children, parents and caretakers and pregnant women who are not aged, blind or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“FPL”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levels published and updated periodically in the Federal Register by the United States Department of Health and Human Services (DHHS) under the authority of </w:t>
      </w:r>
      <w:r>
        <w:rPr>
          <w:rFonts w:ascii="Times New Roman" w:hAnsi="Times New Roman"/>
          <w:b w:val="false"/>
          <w:i w:val="false"/>
          <w:color w:val="000000"/>
          <w:sz w:val="22"/>
        </w:rPr>
        <w:t>42 U.S.C. 9902(2)</w:t>
      </w:r>
      <w:r>
        <w:rPr>
          <w:rFonts w:ascii="Times New Roman" w:hAnsi="Times New Roman"/>
          <w:b w:val="false"/>
          <w:i w:val="false"/>
          <w:color w:val="000000"/>
          <w:sz w:val="22"/>
        </w:rPr>
        <w:t xml:space="preserve"> and revised annually on April 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conditions of eligibility”</w:t>
      </w:r>
      <w:r>
        <w:rPr>
          <w:rFonts w:ascii="Times New Roman" w:hAnsi="Times New Roman"/>
          <w:b w:val="false"/>
          <w:i w:val="false"/>
          <w:color w:val="000000"/>
          <w:sz w:val="22"/>
        </w:rPr>
        <w:t> </w:t>
      </w:r>
      <w:r>
        <w:rPr>
          <w:rFonts w:ascii="Times New Roman" w:hAnsi="Times New Roman"/>
          <w:b w:val="false"/>
          <w:i w:val="false"/>
          <w:color w:val="000000"/>
          <w:sz w:val="22"/>
        </w:rPr>
        <w:t>means the eligibility criteria specified in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furnishing of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Rule </w:t>
      </w:r>
      <w:hyperlink r:id="rId1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residency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Rule </w:t>
      </w:r>
      <w:hyperlink r:id="rId1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 citizenship or alienage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Rule </w:t>
      </w:r>
      <w:hyperlink r:id="rId12">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 establishing liability and obtaining support.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Rule </w:t>
      </w:r>
      <w:hyperlink r:id="rId13">
        <w:r>
          <w:rPr>
            <w:rStyle w:val="Hyperlink"/>
            <w:rFonts w:ascii="Times New Roman" w:hAnsi="Times New Roman"/>
            <w:b w:val="false"/>
            <w:i w:val="false"/>
            <w:color w:val="000000"/>
            <w:sz w:val="22"/>
          </w:rPr>
          <w:t>441—75.15</w:t>
        </w:r>
      </w:hyperlink>
      <w:r>
        <w:rPr>
          <w:rFonts w:ascii="Times New Roman" w:hAnsi="Times New Roman"/>
          <w:b w:val="false"/>
          <w:i w:val="false"/>
          <w:color w:val="000000"/>
          <w:sz w:val="22"/>
        </w:rPr>
        <w:t>(249A): medical resources.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Rule </w:t>
      </w:r>
      <w:hyperlink r:id="rId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medical assistance lien.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Rule </w:t>
      </w:r>
      <w:hyperlink r:id="rId15">
        <w:r>
          <w:rPr>
            <w:rStyle w:val="Hyperlink"/>
            <w:rFonts w:ascii="Times New Roman" w:hAnsi="Times New Roman"/>
            <w:b w:val="false"/>
            <w:i w:val="false"/>
            <w:color w:val="000000"/>
            <w:sz w:val="22"/>
          </w:rPr>
          <w:t>441—75.29</w:t>
        </w:r>
      </w:hyperlink>
      <w:r>
        <w:rPr>
          <w:rFonts w:ascii="Times New Roman" w:hAnsi="Times New Roman"/>
          <w:b w:val="false"/>
          <w:i w:val="false"/>
          <w:color w:val="000000"/>
          <w:sz w:val="22"/>
        </w:rPr>
        <w:t>(249A): investigation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 in-kind”</w:t>
      </w:r>
      <w:r>
        <w:rPr>
          <w:rFonts w:ascii="Times New Roman" w:hAnsi="Times New Roman"/>
          <w:b w:val="false"/>
          <w:i w:val="false"/>
          <w:color w:val="000000"/>
          <w:sz w:val="22"/>
        </w:rPr>
        <w:t> </w:t>
      </w:r>
      <w:r>
        <w:rPr>
          <w:rFonts w:ascii="Times New Roman" w:hAnsi="Times New Roman"/>
          <w:b w:val="false"/>
          <w:i w:val="false"/>
          <w:color w:val="000000"/>
          <w:sz w:val="22"/>
        </w:rPr>
        <w:t>means any gain or benefit that is not in the form of money payable directly to the applicant, member, or person whose income or assets are considered in determining eligibility for an applicant or member, including nonmonetary benefits such as meals, clothing, and vendor payments. Vendor payments are monetary payments to a third party and not to the applicant, member, or person whose income is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an inpatient in a nursing facility or a Medicare-certified skilled nursing facility, a person who is an inpatient in a medical institution and for whom payment is made based on a level of care provided in a nursing facility, or a person who is as described in subrule </w:t>
      </w:r>
      <w:hyperlink r:id="rId16">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spouse”</w:t>
      </w:r>
      <w:r>
        <w:rPr>
          <w:rFonts w:ascii="Times New Roman" w:hAnsi="Times New Roman"/>
          <w:b w:val="false"/>
          <w:i w:val="false"/>
          <w:color w:val="000000"/>
          <w:sz w:val="22"/>
        </w:rPr>
        <w:t> </w:t>
      </w:r>
      <w:r>
        <w:rPr>
          <w:rFonts w:ascii="Times New Roman" w:hAnsi="Times New Roman"/>
          <w:b w:val="false"/>
          <w:i w:val="false"/>
          <w:color w:val="000000"/>
          <w:sz w:val="22"/>
        </w:rPr>
        <w:t>means a married person living in a medical institution, or nursing facility, or home- and community-based waiver setting who is likely to remain living in these circumstances for at least 30 consecutive days and whose spouse is not in a medical institution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office”</w:t>
      </w:r>
      <w:r>
        <w:rPr>
          <w:rFonts w:ascii="Times New Roman" w:hAnsi="Times New Roman"/>
          <w:b w:val="false"/>
          <w:i w:val="false"/>
          <w:color w:val="000000"/>
          <w:sz w:val="22"/>
        </w:rPr>
        <w:t> </w:t>
      </w:r>
      <w:r>
        <w:rPr>
          <w:rFonts w:ascii="Times New Roman" w:hAnsi="Times New Roman"/>
          <w:b w:val="false"/>
          <w:i w:val="false"/>
          <w:color w:val="000000"/>
          <w:sz w:val="22"/>
        </w:rPr>
        <w:t>means the county office of the department or a state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when used in this chapter, means a facility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has been determined eligible and has been enrolled to receive medical assistance pursuant to </w:t>
      </w:r>
      <w:hyperlink r:id="rId1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“Member” may be used interchangeably with “recipient.” This definition does not apply to the phrase “household member.” For the medically needy program, “member” means a person who has been determined eligible for Medicaid under the medically needy program, has been approved, and has countable income at or below the medically needy income level (MNIL) or has reduced the person’s countable income to the MNIL during the certification period through spenddown. Unless otherwise specified, a person is not a member for any month in which Medicaid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“Modified adjusted gross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“MAGI”</w:t>
      </w:r>
      <w:r>
        <w:rPr>
          <w:rFonts w:ascii="Times New Roman" w:hAnsi="Times New Roman"/>
          <w:b w:val="false"/>
          <w:i w:val="false"/>
          <w:color w:val="000000"/>
          <w:sz w:val="22"/>
        </w:rPr>
        <w:t> </w:t>
      </w:r>
      <w:r>
        <w:rPr>
          <w:rFonts w:ascii="Times New Roman" w:hAnsi="Times New Roman"/>
          <w:b w:val="false"/>
          <w:i w:val="false"/>
          <w:color w:val="000000"/>
          <w:sz w:val="22"/>
        </w:rPr>
        <w:t>means the tax-based methodology used to determine income eligibility and household size for family-related Medicaid and other coverage groups as prescribed by 1902(e)(14) of the Act (</w:t>
      </w:r>
      <w:r>
        <w:rPr>
          <w:rFonts w:ascii="Times New Roman" w:hAnsi="Times New Roman"/>
          <w:b w:val="false"/>
          <w:i w:val="false"/>
          <w:color w:val="000000"/>
          <w:sz w:val="22"/>
        </w:rPr>
        <w:t>42 U.S.C. 1396a(e)(14)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“Non-MAGI-related”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whose eligibility is determined using regulations governing the supplemental security income (SSI) program administered by the SSA, except that income is considered prospectively. “Non-MAGI-related” also includes persons who would be eligible for SSI except for certain eligibility factors as specified in rule </w:t>
      </w:r>
      <w:hyperlink r:id="rId18">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level of care provided in a medical institution licensed for nursing services or skilled nursing services for the purposes of rules </w:t>
      </w:r>
      <w:hyperlink r:id="rId1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0">
        <w:r>
          <w:rPr>
            <w:rStyle w:val="Hyperlink"/>
            <w:rFonts w:ascii="Times New Roman" w:hAnsi="Times New Roman"/>
            <w:b w:val="false"/>
            <w:i w:val="false"/>
            <w:color w:val="000000"/>
            <w:sz w:val="22"/>
          </w:rPr>
          <w:t>441—75.85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a natural or biological parent, or an individual legally recognized as the parent of a child based on the conception, gestation, or birth of the child during a legal marriage; an adoptive parent; or the spouse of another parent (stepparent)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 and chase”</w:t>
      </w:r>
      <w:r>
        <w:rPr>
          <w:rFonts w:ascii="Times New Roman" w:hAnsi="Times New Roman"/>
          <w:b w:val="false"/>
          <w:i w:val="false"/>
          <w:color w:val="000000"/>
          <w:sz w:val="22"/>
        </w:rPr>
        <w:t> </w:t>
      </w:r>
      <w:r>
        <w:rPr>
          <w:rFonts w:ascii="Times New Roman" w:hAnsi="Times New Roman"/>
          <w:b w:val="false"/>
          <w:i w:val="false"/>
          <w:color w:val="000000"/>
          <w:sz w:val="22"/>
        </w:rPr>
        <w:t>means that the state pays the total amount allowed under the department’s payment schedule and then seeks reimbursement from a liable third party. The pay and chase provision applies to Medicaid claims for preventive pediatric services and 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“Payee”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an SSI payee as defined in </w:t>
      </w:r>
      <w:r>
        <w:rPr>
          <w:rFonts w:ascii="Times New Roman" w:hAnsi="Times New Roman"/>
          <w:b w:val="false"/>
          <w:i w:val="false"/>
          <w:color w:val="000000"/>
          <w:sz w:val="22"/>
        </w:rPr>
        <w:t>20 CFR 416.601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eligibility”</w:t>
      </w:r>
      <w:r>
        <w:rPr>
          <w:rFonts w:ascii="Times New Roman" w:hAnsi="Times New Roman"/>
          <w:b w:val="false"/>
          <w:i w:val="false"/>
          <w:color w:val="000000"/>
          <w:sz w:val="22"/>
        </w:rPr>
        <w:t> </w:t>
      </w:r>
      <w:r>
        <w:rPr>
          <w:rFonts w:ascii="Times New Roman" w:hAnsi="Times New Roman"/>
          <w:b w:val="false"/>
          <w:i w:val="false"/>
          <w:color w:val="000000"/>
          <w:sz w:val="22"/>
        </w:rPr>
        <w:t>means that a person is presumed to be eligible for Medicaid on a temporary basis based on statements provided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immediate and temporary health care coverage based on a presumptive eligibility decision to pay for the cost of care during the presumptive period as described in subrule </w:t>
      </w:r>
      <w:hyperlink r:id="rId21">
        <w:r>
          <w:rPr>
            <w:rStyle w:val="Hyperlink"/>
            <w:rFonts w:ascii="Times New Roman" w:hAnsi="Times New Roman"/>
            <w:b w:val="false"/>
            <w:i w:val="false"/>
            <w:color w:val="000000"/>
            <w:sz w:val="22"/>
          </w:rPr>
          <w:t>75.7(4)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organization approved by the department to conduct and authorize presumptive eligibility determinations pursuant to </w:t>
      </w:r>
      <w:hyperlink r:id="rId22">
        <w:r>
          <w:rPr>
            <w:rStyle w:val="Hyperlink"/>
            <w:rFonts w:ascii="Times New Roman" w:hAnsi="Times New Roman"/>
            <w:b w:val="false"/>
            <w:i w:val="false"/>
            <w:color w:val="000000"/>
            <w:sz w:val="22"/>
          </w:rPr>
          <w:t>441—subrule 76.7(1)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under the supervision and authority of a presumptive provider, who has been determined by the department to be capable of making presumptive Medicaid eligibility determinations pursuant to </w:t>
      </w:r>
      <w:hyperlink r:id="rId23">
        <w:r>
          <w:rPr>
            <w:rStyle w:val="Hyperlink"/>
            <w:rFonts w:ascii="Times New Roman" w:hAnsi="Times New Roman"/>
            <w:b w:val="false"/>
            <w:i w:val="false"/>
            <w:color w:val="000000"/>
            <w:sz w:val="22"/>
          </w:rPr>
          <w:t>441—subrule 76.7(2)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“Reasonably compatible”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“reasonable compatibility”</w:t>
      </w:r>
      <w:r>
        <w:rPr>
          <w:rFonts w:ascii="Times New Roman" w:hAnsi="Times New Roman"/>
          <w:b w:val="false"/>
          <w:i w:val="false"/>
          <w:color w:val="000000"/>
          <w:sz w:val="22"/>
        </w:rPr>
        <w:t> </w:t>
      </w:r>
      <w:r>
        <w:rPr>
          <w:rFonts w:ascii="Times New Roman" w:hAnsi="Times New Roman"/>
          <w:b w:val="false"/>
          <w:i w:val="false"/>
          <w:color w:val="000000"/>
          <w:sz w:val="22"/>
        </w:rPr>
        <w:t>means the standard by which the total attested countable income or resources for each person’s household size is compared with the total amount from available EDS or AVS used by the department. Attested income or resources must meet one of the following three criteria to meet the standards for reasonable compatibility: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Both the total attested income or resources and the total income or resources from the EDS or AVS are above, at, or below the applicable income or resource limit for Medicaid or hawki;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attested income is within 10 percent of the total income from EDS or the total resources are below the resource limit for the applicable program;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total attested income or resources exceeds the total income or resources from EDS or AVS. </w:t>
      </w:r>
    </w:p>
    <w:p>
      <w:pPr>
        <w:spacing w:before="0" w:after="0"/>
        <w:ind w:left="120"/>
        <w:jc w:val="both"/>
      </w:pPr>
      <w:r>
        <w:rPr>
          <w:rFonts w:ascii="Times New Roman" w:hAnsi="Times New Roman"/>
          <w:b w:val="false"/>
          <w:i w:val="false"/>
          <w:color w:val="000000"/>
          <w:sz w:val="22"/>
        </w:rPr>
        <w:t>If the attested income or resources meet any of the reasonable compatibility criteria, the income or resources are considered to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opportunity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90-day period allowed for applicants and members to provide satisfactory documentation of citizenship, nationality, or qualified alien status pursuant to subparagraph </w:t>
      </w:r>
      <w:hyperlink r:id="rId2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“Refugee”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8 U.S.C. §1101(a)</w:t>
      </w:r>
      <w:r>
        <w:rPr>
          <w:rFonts w:ascii="Times New Roman" w:hAnsi="Times New Roman"/>
          <w:b w:val="false"/>
          <w:i w:val="false"/>
          <w:color w:val="000000"/>
          <w:sz w:val="22"/>
        </w:rPr>
        <w:t xml:space="preserve"> INA 101 (a)(42).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period”</w:t>
      </w:r>
      <w:r>
        <w:rPr>
          <w:rFonts w:ascii="Times New Roman" w:hAnsi="Times New Roman"/>
          <w:b w:val="false"/>
          <w:i w:val="false"/>
          <w:color w:val="000000"/>
          <w:sz w:val="22"/>
        </w:rPr>
        <w:t> </w:t>
      </w:r>
      <w:r>
        <w:rPr>
          <w:rFonts w:ascii="Times New Roman" w:hAnsi="Times New Roman"/>
          <w:b w:val="false"/>
          <w:i w:val="false"/>
          <w:color w:val="000000"/>
          <w:sz w:val="22"/>
        </w:rPr>
        <w:t>means the three calendar months immediately preceding the month in which an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“Sibling”</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shares at least one common parent with another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a party to a legally recognized marriage, including a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“Stepparent”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not the parent of the dependent child, but is the legal spouse of the dependent child’s parent. A stepparent is considered a parent under a coverage group that is subject to MAGI methodology pursuant to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“supplying”</w:t>
      </w:r>
      <w:r>
        <w:rPr>
          <w:rFonts w:ascii="Times New Roman" w:hAnsi="Times New Roman"/>
          <w:b w:val="false"/>
          <w:i w:val="false"/>
          <w:color w:val="000000"/>
          <w:sz w:val="22"/>
        </w:rPr>
        <w:t> </w:t>
      </w:r>
      <w:r>
        <w:rPr>
          <w:rFonts w:ascii="Times New Roman" w:hAnsi="Times New Roman"/>
          <w:b w:val="false"/>
          <w:i w:val="false"/>
          <w:color w:val="000000"/>
          <w:sz w:val="22"/>
        </w:rPr>
        <w:t>means the requested information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dependent”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 of assets”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transfer of resources or income for less than fair market value as provided in rule </w:t>
      </w:r>
      <w:hyperlink r:id="rId25">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“Unborn child”</w:t>
      </w:r>
      <w:r>
        <w:rPr>
          <w:rFonts w:ascii="Times New Roman" w:hAnsi="Times New Roman"/>
          <w:b w:val="false"/>
          <w:i w:val="false"/>
          <w:color w:val="000000"/>
          <w:sz w:val="22"/>
        </w:rPr>
        <w:t> </w:t>
      </w:r>
      <w:r>
        <w:rPr>
          <w:rFonts w:ascii="Times New Roman" w:hAnsi="Times New Roman"/>
          <w:b w:val="false"/>
          <w:i w:val="false"/>
          <w:color w:val="000000"/>
          <w:sz w:val="22"/>
        </w:rPr>
        <w:t>includes an unborn child during the entire term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“United States Code”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“U.S.C.”</w:t>
      </w:r>
      <w:r>
        <w:rPr>
          <w:rFonts w:ascii="Times New Roman" w:hAnsi="Times New Roman"/>
          <w:b w:val="false"/>
          <w:i w:val="false"/>
          <w:color w:val="000000"/>
          <w:sz w:val="22"/>
        </w:rPr>
        <w:t> </w:t>
      </w:r>
      <w:r>
        <w:rPr>
          <w:rFonts w:ascii="Times New Roman" w:hAnsi="Times New Roman"/>
          <w:b w:val="false"/>
          <w:i w:val="false"/>
          <w:color w:val="000000"/>
          <w:sz w:val="22"/>
        </w:rPr>
        <w:t>means the general and permanent laws of the United States. All references to the U.S.C. herein are as amended to August 1, 2025, unless another effective date is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Categories of persons covered. </w:t>
      </w:r>
      <w:r>
        <w:rPr>
          <w:rFonts w:ascii="Times New Roman" w:hAnsi="Times New Roman"/>
          <w:b w:val="false"/>
          <w:i w:val="false"/>
          <w:color w:val="000000"/>
          <w:sz w:val="22"/>
        </w:rPr>
        <w:t xml:space="preserve">Persons who meet the criteria of one of the categorical groups below receive Medicaid if they meet the eligibility requirements of a related coverage group described in rules </w:t>
      </w:r>
      <w:hyperlink r:id="rId26">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the general conditions of eligibility described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Medicaid. </w:t>
      </w:r>
      <w:r>
        <w:rPr>
          <w:rFonts w:ascii="Times New Roman" w:hAnsi="Times New Roman"/>
          <w:b w:val="false"/>
          <w:i w:val="false"/>
          <w:color w:val="000000"/>
          <w:sz w:val="22"/>
        </w:rPr>
        <w:t xml:space="preserve">Medicaid is available to the following categories of persons who meet the eligibility requirements of one of the family-related Medicaid coverage groups described in rule </w:t>
      </w:r>
      <w:hyperlink r:id="rId2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the general conditions of eligibility specified in Division I of this chapter, and the eligibility factors specific to family-related medical assistance described in Division II of this chapter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and caretakers.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in foster care, a subsidized adoption arrangement, or subsidized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Former foster care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living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color w:val="000000"/>
          <w:sz w:val="22"/>
        </w:rPr>
        <w:t xml:space="preserve">Persons who need breast or cervical cancer treatment. </w:t>
      </w:r>
      <w:r>
        <w:rPr>
          <w:rFonts w:ascii="Times New Roman" w:hAnsi="Times New Roman"/>
          <w:b w:val="false"/>
          <w:i w:val="false"/>
          <w:color w:val="000000"/>
          <w:sz w:val="22"/>
        </w:rPr>
        <w:t xml:space="preserve">Pursuant to rule </w:t>
      </w:r>
      <w:hyperlink r:id="rId29">
        <w:r>
          <w:rPr>
            <w:rStyle w:val="Hyperlink"/>
            <w:rFonts w:ascii="Times New Roman" w:hAnsi="Times New Roman"/>
            <w:b w:val="false"/>
            <w:i w:val="false"/>
            <w:color w:val="000000"/>
            <w:sz w:val="22"/>
          </w:rPr>
          <w:t>441—75.4</w:t>
        </w:r>
      </w:hyperlink>
      <w:r>
        <w:rPr>
          <w:rFonts w:ascii="Times New Roman" w:hAnsi="Times New Roman"/>
          <w:b w:val="false"/>
          <w:i w:val="false"/>
          <w:color w:val="000000"/>
          <w:sz w:val="22"/>
        </w:rPr>
        <w:t>(249A), Medicaid is available to persons who have been screened and found to need treatment for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color w:val="000000"/>
          <w:sz w:val="22"/>
        </w:rPr>
        <w:t xml:space="preserve">Persons aged 19 through 64. </w:t>
      </w:r>
      <w:r>
        <w:rPr>
          <w:rFonts w:ascii="Times New Roman" w:hAnsi="Times New Roman"/>
          <w:b w:val="false"/>
          <w:i w:val="false"/>
          <w:color w:val="000000"/>
          <w:sz w:val="22"/>
        </w:rPr>
        <w:t xml:space="preserve">Medicaid is available to persons who are aged 19 or older and under the age of 65 who meet the eligibility requirements of the Iowa health and wellness plan (IHAWP) as described in subrule </w:t>
      </w:r>
      <w:hyperlink r:id="rId30">
        <w:r>
          <w:rPr>
            <w:rStyle w:val="Hyperlink"/>
            <w:rFonts w:ascii="Times New Roman" w:hAnsi="Times New Roman"/>
            <w:b w:val="false"/>
            <w:i w:val="false"/>
            <w:color w:val="000000"/>
            <w:sz w:val="22"/>
          </w:rPr>
          <w:t>75.5(1)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refugees. </w:t>
      </w:r>
      <w:r>
        <w:rPr>
          <w:rFonts w:ascii="Times New Roman" w:hAnsi="Times New Roman"/>
          <w:b w:val="false"/>
          <w:i w:val="false"/>
          <w:color w:val="000000"/>
          <w:sz w:val="22"/>
        </w:rPr>
        <w:t xml:space="preserve">Medicaid is available to refugees who meet the requirements described in subrules </w:t>
      </w:r>
      <w:hyperlink r:id="rId32">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xml:space="preserve"> and who do not meet the requirements of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w:t>
      </w:r>
      <w:r>
        <w:rPr>
          <w:rFonts w:ascii="Times New Roman" w:hAnsi="Times New Roman"/>
          <w:b w:val="false"/>
          <w:i w:val="false"/>
          <w:color w:val="000000"/>
          <w:sz w:val="22"/>
        </w:rPr>
        <w:t> </w:t>
      </w:r>
      <w:r>
        <w:rPr>
          <w:rFonts w:ascii="Times New Roman" w:hAnsi="Times New Roman"/>
          <w:b w:val="false"/>
          <w:i/>
          <w:color w:val="000000"/>
          <w:sz w:val="22"/>
        </w:rPr>
        <w:t xml:space="preserve">Aged, blind, or disabled persons. </w:t>
      </w:r>
      <w:r>
        <w:rPr>
          <w:rFonts w:ascii="Times New Roman" w:hAnsi="Times New Roman"/>
          <w:b w:val="false"/>
          <w:i w:val="false"/>
          <w:color w:val="000000"/>
          <w:sz w:val="22"/>
        </w:rPr>
        <w:t xml:space="preserve">The following coverage groups are available to persons who are aged, blind, or disabled and who meet the eligibility criteria of a coverage group described in rule </w:t>
      </w:r>
      <w:hyperlink r:id="rId34">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receiving SSI or state supplementary assistance or eligible for, but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Aged, blind or disabled persons ineligible for SSI or state supplementary assistance due to income or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Certain persons essential to the welfare of an aged, blind, or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residing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participating in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Working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may be eligible for additional services that are not available through regular Medicaid, and a waiver of federal policy has been approved. These are known as waiver services and are defined in </w:t>
      </w:r>
      <w:hyperlink r:id="rId3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441—75.3</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Family-related Medicaid. </w:t>
      </w:r>
      <w:r>
        <w:rPr>
          <w:rFonts w:ascii="Times New Roman" w:hAnsi="Times New Roman"/>
          <w:b w:val="false"/>
          <w:i w:val="false"/>
          <w:color w:val="000000"/>
          <w:sz w:val="22"/>
        </w:rPr>
        <w:t>Medicaid will be available to children, parents and other caretakers and to pregnant women who meet the eligibility requirements of a coverage group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color w:val="000000"/>
          <w:sz w:val="22"/>
        </w:rPr>
        <w:t xml:space="preserve">Family medical assistance program (FMAP). </w:t>
      </w:r>
      <w:r>
        <w:rPr>
          <w:rFonts w:ascii="Times New Roman" w:hAnsi="Times New Roman"/>
          <w:b w:val="false"/>
          <w:i w:val="false"/>
          <w:color w:val="000000"/>
          <w:sz w:val="22"/>
        </w:rPr>
        <w:t>Medicaid will be available to low-income children and to the children’s parent or other caretaker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must meet the requirements described in rule </w:t>
      </w:r>
      <w:hyperlink r:id="rId3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 xml:space="preserve">(249A), and the parent or other caretaker must meet the requirements described in rule </w:t>
      </w:r>
      <w:hyperlink r:id="rId37">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Countable household income must not exceed the FMAP limits prescribed in rule </w:t>
      </w:r>
      <w:hyperlink r:id="rId3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Financial eligibility will be determined according to MAGI methodology pursuant to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color w:val="000000"/>
          <w:sz w:val="22"/>
        </w:rPr>
        <w:t xml:space="preserve">Pregnant women, infants, and children (mothers and children (MAC)). </w:t>
      </w:r>
      <w:r>
        <w:rPr>
          <w:rFonts w:ascii="Times New Roman" w:hAnsi="Times New Roman"/>
          <w:b w:val="false"/>
          <w:i w:val="false"/>
          <w:color w:val="000000"/>
          <w:sz w:val="22"/>
        </w:rPr>
        <w:t>Medicaid will be available to pregnant women, infants (under one year of age), and children who have not attained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applicable limits for the MAC program as stated in rule </w:t>
      </w:r>
      <w:hyperlink r:id="rId39">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pregnant women, infants, and children, income and household size will be determined pursuant to rule </w:t>
      </w:r>
      <w:hyperlink r:id="rId4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a pregnant woman or any person whose MAGI household size includes a pregnant woman, the unborn child (or children) will be considered when determining the number of persons in the household. Attestation of pregnancy will be accepted in accordance with subrule </w:t>
      </w:r>
      <w:hyperlink r:id="rId41">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pregnant women under this rule will begin no earlier than the first day of the month in which conception occurred and will continue throughout the pregnancy when requirements described in rule </w:t>
      </w:r>
      <w:hyperlink r:id="rId42">
        <w:r>
          <w:rPr>
            <w:rStyle w:val="Hyperlink"/>
            <w:rFonts w:ascii="Times New Roman" w:hAnsi="Times New Roman"/>
            <w:b w:val="false"/>
            <w:i w:val="false"/>
            <w:color w:val="000000"/>
            <w:sz w:val="22"/>
          </w:rPr>
          <w:t>441—75.18</w:t>
        </w:r>
      </w:hyperlink>
      <w:r>
        <w:rPr>
          <w:rFonts w:ascii="Times New Roman" w:hAnsi="Times New Roman"/>
          <w:b w:val="false"/>
          <w:i w:val="false"/>
          <w:color w:val="000000"/>
          <w:sz w:val="22"/>
        </w:rPr>
        <w:t>(249A)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eligibility for an infant or a child will be determined pursuant to rule </w:t>
      </w:r>
      <w:hyperlink r:id="rId43">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eligibility under this coverage group, the requirement to live with a parent or other caretaker as specified at subrule </w:t>
      </w:r>
      <w:hyperlink r:id="rId44">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the age and school attendance provisions specified in subrule </w:t>
      </w:r>
      <w:hyperlink r:id="rId45">
        <w:r>
          <w:rPr>
            <w:rStyle w:val="Hyperlink"/>
            <w:rFonts w:ascii="Times New Roman" w:hAnsi="Times New Roman"/>
            <w:b w:val="false"/>
            <w:i w:val="false"/>
            <w:color w:val="000000"/>
            <w:sz w:val="22"/>
          </w:rPr>
          <w:t>75.50(1)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who was both eligible and enrolled in Medicaid on the date her pregnancy ends will be entitled to receive Medicaid through the postpartum period in accordance with subrule </w:t>
      </w:r>
      <w:hyperlink r:id="rId4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infant loses eligibility under this coverage group at the time of the first birthday due to exceeding the income limit for children or if a child loses eligibility at the time of the nineteenth birthday, but the infant or child is receiving inpatient services in a medical institution, Medicaid will continue under this coverage group for the duration of continuous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color w:val="000000"/>
          <w:sz w:val="22"/>
        </w:rPr>
        <w:t xml:space="preserve">Newborn children. </w:t>
      </w:r>
      <w:r>
        <w:rPr>
          <w:rFonts w:ascii="Times New Roman" w:hAnsi="Times New Roman"/>
          <w:b w:val="false"/>
          <w:i w:val="false"/>
          <w:color w:val="000000"/>
          <w:sz w:val="22"/>
        </w:rPr>
        <w:t>Medicaid will be available without an application to newborn children of women who are determined eligible for Medicaid for the month of the child’s birth or for emergency services for labor and delivery for the child’s birth. Eligibility begins with the month of the birth and continues through the month of the first birthday as long as the child remains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any written or verbal statement as verification of the newborn’s birth date unless the department determines the birth date is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Medicaid to continue after the month of the first birthday, a redetermination of eligibility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color w:val="000000"/>
          <w:sz w:val="22"/>
        </w:rPr>
        <w:t xml:space="preserve">Postpartum eligibility following pregnancy. </w:t>
      </w:r>
      <w:r>
        <w:rPr>
          <w:rFonts w:ascii="Times New Roman" w:hAnsi="Times New Roman"/>
          <w:b w:val="false"/>
          <w:i w:val="false"/>
          <w:color w:val="000000"/>
          <w:sz w:val="22"/>
        </w:rPr>
        <w:t>Medicaid will continue to be available for a period of 12 months beginning the first of the month following the end of pregnancy and continuing for 12 months for a woman who was both eligible and enrolled in Medicaid on the date her pregnancy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this subrule, the woman is not required to meet any eligibility criteria described in this chapter or the reenrollment requirements in rule </w:t>
      </w:r>
      <w:hyperlink r:id="rId4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during the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will not be required to file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4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75.3(5)</w:t>
      </w:r>
      <w:r>
        <w:rPr>
          <w:rFonts w:ascii="Times New Roman" w:hAnsi="Times New Roman"/>
          <w:b w:val="false"/>
          <w:i w:val="false"/>
          <w:color w:val="000000"/>
          <w:sz w:val="22"/>
        </w:rPr>
        <w:t> </w:t>
      </w:r>
      <w:r>
        <w:rPr>
          <w:rFonts w:ascii="Times New Roman" w:hAnsi="Times New Roman"/>
          <w:b w:val="false"/>
          <w:i/>
          <w:color w:val="000000"/>
          <w:sz w:val="22"/>
        </w:rPr>
        <w:t xml:space="preserve">Healthy and well kids in Iowa (hawki). </w:t>
      </w:r>
      <w:r>
        <w:rPr>
          <w:rFonts w:ascii="Times New Roman" w:hAnsi="Times New Roman"/>
          <w:b w:val="false"/>
          <w:i w:val="false"/>
          <w:color w:val="000000"/>
          <w:sz w:val="22"/>
        </w:rPr>
        <w:t xml:space="preserve">Hawki will be available to children under the age of 19 who are not eligible for Medicaid and who meet the provisions of </w:t>
      </w:r>
      <w:hyperlink r:id="rId49">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75.3(6)</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Transitional Medicaid will be available for a period of up to 12 months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increased income from employment of the dependent child or the child’s parent or other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increased income from employment of the dependent child or the child’s parent or other caretaker;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0">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entered the home prior to FMAP discontinuance or during the transitional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Increase in income from employment. </w:t>
      </w:r>
      <w:r>
        <w:rPr>
          <w:rFonts w:ascii="Times New Roman" w:hAnsi="Times New Roman"/>
          <w:b w:val="false"/>
          <w:i w:val="false"/>
          <w:color w:val="000000"/>
          <w:sz w:val="22"/>
        </w:rPr>
        <w:t>Increased income from employment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Increased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and continuous eligibility. </w:t>
      </w:r>
      <w:r>
        <w:rPr>
          <w:rFonts w:ascii="Times New Roman" w:hAnsi="Times New Roman"/>
          <w:b w:val="false"/>
          <w:i w:val="false"/>
          <w:color w:val="000000"/>
          <w:sz w:val="22"/>
        </w:rPr>
        <w:t xml:space="preserve">Transitional Medicaid eligibility rules supersede continuous eligibility rules for a child as described in rule </w:t>
      </w:r>
      <w:hyperlink r:id="rId51">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 xml:space="preserve">In order to receive transitional Medicaid coverage under the provisions of this subrule, at least one of the individuals described in subparagraph </w:t>
      </w:r>
      <w:hyperlink r:id="rId52">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 xml:space="preserve">(2) must have received FMAP during at least three of the six months immediately preceding the month in which ineligibility occurred. The months the member receives FMAP due to continuous eligibility as described in rule </w:t>
      </w:r>
      <w:hyperlink r:id="rId53">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 do not count toward the transitional Medicaid requirement of receiving FMAP for at least three of the last six months. If there is an increase in income from employment when a child’s continuous eligibility is ending, the child will not be redetermined to the transitional Medicaid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Period of transitional coverage. </w:t>
      </w:r>
      <w:r>
        <w:rPr>
          <w:rFonts w:ascii="Times New Roman" w:hAnsi="Times New Roman"/>
          <w:b w:val="false"/>
          <w:i w:val="false"/>
          <w:color w:val="000000"/>
          <w:sz w:val="22"/>
        </w:rPr>
        <w:t xml:space="preserve">The 12 months of transitional Medicaid coverage begin the day following discontinuance of FMAP eligibility and will continue for a consecutive 12-month period without regard to income changes, subject to paragraphs </w:t>
      </w:r>
      <w:hyperlink r:id="rId54">
        <w:r>
          <w:rPr>
            <w:rStyle w:val="Hyperlink"/>
            <w:rFonts w:ascii="Times New Roman" w:hAnsi="Times New Roman"/>
            <w:b w:val="false"/>
            <w:i w:val="false"/>
            <w:color w:val="000000"/>
            <w:sz w:val="22"/>
          </w:rPr>
          <w:t>75.3(6)</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 xml:space="preserve">Transitional Medicaid will not be allowed under the provisions of this subrule when it has been determined that the member received FMAP in any of the six months immediately preceding the month of discontinuance as the result of fraud. Fraud is defined in accordance with Iowa Code section </w:t>
      </w:r>
      <w:hyperlink r:id="rId55">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During the transitional Medicaid period, assistance will be discontinued at the end of the first month in which there is no longer an eligible child living in the household who meets the requirements in rule </w:t>
      </w:r>
      <w:hyperlink r:id="rId5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5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Transitional period ends. </w:t>
      </w:r>
      <w:r>
        <w:rPr>
          <w:rFonts w:ascii="Times New Roman" w:hAnsi="Times New Roman"/>
          <w:b w:val="false"/>
          <w:i w:val="false"/>
          <w:color w:val="000000"/>
          <w:sz w:val="22"/>
        </w:rPr>
        <w:t xml:space="preserve">Transitional Medicaid will be discontinued beginning with the first month following the month in which the household no longer meets the eligibility criteria. Notice will be provided to the household in accordance with adequate and timely notice provisions as specified in rule </w:t>
      </w:r>
      <w:hyperlink r:id="rId58">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75.3(7)</w:t>
      </w:r>
      <w:r>
        <w:rPr>
          <w:rFonts w:ascii="Times New Roman" w:hAnsi="Times New Roman"/>
          <w:b w:val="false"/>
          <w:i w:val="false"/>
          <w:color w:val="000000"/>
          <w:sz w:val="22"/>
        </w:rPr>
        <w:t> </w:t>
      </w:r>
      <w:r>
        <w:rPr>
          <w:rFonts w:ascii="Times New Roman" w:hAnsi="Times New Roman"/>
          <w:b w:val="false"/>
          <w:i/>
          <w:color w:val="000000"/>
          <w:sz w:val="22"/>
        </w:rPr>
        <w:t xml:space="preserve">Extended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Extended Medicaid will be available for a period of up to four months to the following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receipt of income from alimony or other spousal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receipt of income from alimony or other spousal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9">
        <w:r>
          <w:rPr>
            <w:rStyle w:val="Hyperlink"/>
            <w:rFonts w:ascii="Times New Roman" w:hAnsi="Times New Roman"/>
            <w:b w:val="false"/>
            <w:i w:val="false"/>
            <w:color w:val="000000"/>
            <w:sz w:val="22"/>
          </w:rPr>
          <w:t>75.3(7)</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 the home prior to FMAP discontinuance or during the extended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In order to receive extended Medicaid coverage under the provisions of this subrule, at least one member must have received FMAP during at least three of the six months immediately preceding the month in which ineligibility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extended coverage. </w:t>
      </w:r>
      <w:r>
        <w:rPr>
          <w:rFonts w:ascii="Times New Roman" w:hAnsi="Times New Roman"/>
          <w:b w:val="false"/>
          <w:i w:val="false"/>
          <w:color w:val="000000"/>
          <w:sz w:val="22"/>
        </w:rPr>
        <w:t xml:space="preserve">The four months of extended Medicaid coverage begins the day following discontinuance of FMAP eligibility and will continue for four consecutive months, subject to paragraph </w:t>
      </w:r>
      <w:hyperlink r:id="rId60">
        <w:r>
          <w:rPr>
            <w:rStyle w:val="Hyperlink"/>
            <w:rFonts w:ascii="Times New Roman" w:hAnsi="Times New Roman"/>
            <w:b w:val="false"/>
            <w:i w:val="false"/>
            <w:color w:val="000000"/>
            <w:sz w:val="22"/>
          </w:rPr>
          <w:t>75.3(7)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61">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Extended period ends. </w:t>
      </w:r>
      <w:r>
        <w:rPr>
          <w:rFonts w:ascii="Times New Roman" w:hAnsi="Times New Roman"/>
          <w:b w:val="false"/>
          <w:i w:val="false"/>
          <w:color w:val="000000"/>
          <w:sz w:val="22"/>
        </w:rPr>
        <w:t xml:space="preserve">Extended Medicaid will be discontinued beginning with the first month following the month in which the household no longer meets eligibility criteria. Notice will be provided to the household in accordance with adequate and timely notice provisions as specified in rule </w:t>
      </w:r>
      <w:hyperlink r:id="rId6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75.3(8)</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not eligible under Title IV-E or Title XVI of the Act. </w:t>
      </w:r>
      <w:r>
        <w:rPr>
          <w:rFonts w:ascii="Times New Roman" w:hAnsi="Times New Roman"/>
          <w:b w:val="false"/>
          <w:i w:val="false"/>
          <w:color w:val="000000"/>
          <w:sz w:val="22"/>
        </w:rPr>
        <w:t>Medicaid will be available to persons under the age of 21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child medical assistance program (CMAP), the person is in foster care or a subsidized adoption arrangement in accordance with subparagraph </w:t>
      </w:r>
      <w:hyperlink r:id="rId63">
        <w:r>
          <w:rPr>
            <w:rStyle w:val="Hyperlink"/>
            <w:rFonts w:ascii="Times New Roman" w:hAnsi="Times New Roman"/>
            <w:b w:val="false"/>
            <w:i w:val="false"/>
            <w:color w:val="000000"/>
            <w:sz w:val="22"/>
          </w:rPr>
          <w:t>75.3(8)</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 and the person is not eligible for assistance under Title IV-E or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placed in licensed foster care for which the state pays foster care maintenance payments pursuant to Iowa Code section </w:t>
      </w:r>
      <w:hyperlink r:id="rId64">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65">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 special needs child in an adoption assistance agreement with the department pursuant to rule </w:t>
      </w:r>
      <w:hyperlink r:id="rId66">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a special needs child who resides in Iowa in a private home with the child’s adoptive parent(s) and is in an adoption assistance agreement with another state with which Iowa has a reciprocity agreement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state is a member of the interstate compact on adoption and medical assistance (ICAMA);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state provides medical assistance benefits pursuant to a program funded under Title XIX of the Act under the optional group in Section 1902(a)(10)(A)(ii)(VIII) of the Act to children residing in that state (at least until aged 18) for whom there is a state adoption assistance agreement in effect with the state of Iowa other than under Title IV-E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subsidized guardianship medically needy program, the person resides in Iowa in a private home pursuant to a court-approved subsidized guardianship arrangement under </w:t>
      </w:r>
      <w:hyperlink r:id="rId67">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xml:space="preserve"> and the person is not eligible for assistance under Title IV-E or Title XVI of the Act. As authorized under </w:t>
      </w:r>
      <w:r>
        <w:rPr>
          <w:rFonts w:ascii="Times New Roman" w:hAnsi="Times New Roman"/>
          <w:b w:val="false"/>
          <w:i w:val="false"/>
          <w:color w:val="000000"/>
          <w:sz w:val="22"/>
        </w:rPr>
        <w:t>42 CFR 435.308</w:t>
      </w:r>
      <w:r>
        <w:rPr>
          <w:rFonts w:ascii="Times New Roman" w:hAnsi="Times New Roman"/>
          <w:b w:val="false"/>
          <w:i w:val="false"/>
          <w:color w:val="000000"/>
          <w:sz w:val="22"/>
        </w:rPr>
        <w:t xml:space="preserve">, this reasonable classification of individuals is a separate coverage group from the medical assistance available to medically needy persons described in rule </w:t>
      </w:r>
      <w:hyperlink r:id="rId6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69">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0">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75.3(9)</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and eligible under Title 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a child under the age of 21 who is eligible under Title IV-E of the Act and for whom any of the following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maintenance payments for a child placed in licensed foster care pursuant to Iowa Code section </w:t>
      </w:r>
      <w:hyperlink r:id="rId71">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2">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Guardianship assistance pursuant to rule </w:t>
      </w:r>
      <w:hyperlink r:id="rId73">
        <w:r>
          <w:rPr>
            <w:rStyle w:val="Hyperlink"/>
            <w:rFonts w:ascii="Times New Roman" w:hAnsi="Times New Roman"/>
            <w:b w:val="false"/>
            <w:i w:val="false"/>
            <w:color w:val="000000"/>
            <w:sz w:val="22"/>
          </w:rPr>
          <w:t>441—204.4</w:t>
        </w:r>
      </w:hyperlink>
      <w:r>
        <w:rPr>
          <w:rFonts w:ascii="Times New Roman" w:hAnsi="Times New Roman"/>
          <w:b w:val="false"/>
          <w:i w:val="false"/>
          <w:color w:val="000000"/>
          <w:sz w:val="22"/>
        </w:rPr>
        <w:t>(234), regardless of whether the guardianship assistance agreement provides for guardianship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assistance pursuant to rule </w:t>
      </w:r>
      <w:hyperlink r:id="rId74">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 assistance from another state. Medicaid will be available to children under the age of 21 who are eligible for federal foster care maintenance payments, adoption assistance, or guardianship assistance under Title IV-E of the Act from another state and live in Iowa, including children with an adoption or guardianship assistance agreement that does not provide for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7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75.3(10)</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foster care or a subsidized adoption arrangement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is responsible for foster care maintenance payments for a child placed in licensed foster care pursuant to Iowa Code section </w:t>
      </w:r>
      <w:hyperlink r:id="rId77">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 xml:space="preserve">(234), or has negotiated an adoption assistance agreement pursuant to rule </w:t>
      </w:r>
      <w:hyperlink r:id="rId79">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for a child living in a private home regardless of whether the agreement provides for adoption subsidy maintenance payments, state-only funded medical assistance will be available to the 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 lives in Iowa, and is not otherwise eligible under a category for which federal financial participation is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under the age of 21, lives in another state, and is not eligible for benefits from the other state pursuant to a program funded under Title XIX of the Act, notwithstanding the residency requirements of </w:t>
      </w:r>
      <w:hyperlink r:id="rId8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1">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2">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75.3(11)</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a court-approved subsidized guardianship home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negotiated a subsidized guardianship agreement for a child pursuant to </w:t>
      </w:r>
      <w:hyperlink r:id="rId83">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state-only funded medical assistance will be available to the child under this subrule if the child is under the age of 21 and living in a private home pursuant to a court-approved subsidized guardianship agreement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eligible for Medicaid under a category for which federal financial participation is available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residency requirements of rule </w:t>
      </w:r>
      <w:hyperlink r:id="rId84">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the child lives in another state and is not eligible for benefits from the other state pursuant to a program funded under Title XIX of the Act,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no financial eligibility requirements for this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75.3(12)</w:t>
      </w:r>
      <w:r>
        <w:rPr>
          <w:rFonts w:ascii="Times New Roman" w:hAnsi="Times New Roman"/>
          <w:b w:val="false"/>
          <w:i w:val="false"/>
          <w:color w:val="000000"/>
          <w:sz w:val="22"/>
        </w:rPr>
        <w:t> </w:t>
      </w:r>
      <w:r>
        <w:rPr>
          <w:rFonts w:ascii="Times New Roman" w:hAnsi="Times New Roman"/>
          <w:b w:val="false"/>
          <w:i/>
          <w:color w:val="000000"/>
          <w:sz w:val="22"/>
        </w:rPr>
        <w:t xml:space="preserve">Medicaid for former foster care youth (EMIYA). </w:t>
      </w:r>
      <w:r>
        <w:rPr>
          <w:rFonts w:ascii="Times New Roman" w:hAnsi="Times New Roman"/>
          <w:b w:val="false"/>
          <w:i w:val="false"/>
          <w:color w:val="000000"/>
          <w:sz w:val="22"/>
        </w:rPr>
        <w:t>Medicaid will be available to a person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at least 18 years of age (or such higher age to which foster care is provided to the person, as provided in paragraph </w:t>
      </w:r>
      <w:hyperlink r:id="rId87">
        <w:r>
          <w:rPr>
            <w:rStyle w:val="Hyperlink"/>
            <w:rFonts w:ascii="Times New Roman" w:hAnsi="Times New Roman"/>
            <w:b w:val="false"/>
            <w:i w:val="false"/>
            <w:color w:val="000000"/>
            <w:sz w:val="22"/>
          </w:rPr>
          <w:t>75.3(12)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under 26 years of age. The effect of reaching the age of 26 on the person’s eligibility will be determined pursuant to rule </w:t>
      </w:r>
      <w:hyperlink r:id="rId88">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described in and is not enrolled under any of subclauses (I) through (VII) of Section 1902(a)(10)(A)(i) of Title XIX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Described in any of such subclauses but has income that exceeds the level of income applicable under Iowa’s state Medicaid plan for eligibility to enroll for Medicaid under such subclause.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in foster care as defined in Iowa Code section </w:t>
      </w:r>
      <w:hyperlink r:id="rId89">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responsibility of Iowa or a tribe within Iowa on the date of attaining 18 years of age or such higher age as described in Iowa Code section </w:t>
      </w:r>
      <w:hyperlink r:id="rId90">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the responsibility of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enrolled in the Iowa Medicaid program under Title XIX of the Act on the date of attaining 18 years of age or such higher age as described in Iowa Code section </w:t>
      </w:r>
      <w:hyperlink r:id="rId91">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was enrolled in Medicaid in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75.3(13)</w:t>
      </w:r>
      <w:r>
        <w:rPr>
          <w:rFonts w:ascii="Times New Roman" w:hAnsi="Times New Roman"/>
          <w:b w:val="false"/>
          <w:i w:val="false"/>
          <w:color w:val="000000"/>
          <w:sz w:val="22"/>
        </w:rPr>
        <w:t> </w:t>
      </w:r>
      <w:r>
        <w:rPr>
          <w:rFonts w:ascii="Times New Roman" w:hAnsi="Times New Roman"/>
          <w:b w:val="false"/>
          <w:i/>
          <w:color w:val="000000"/>
          <w:sz w:val="22"/>
        </w:rPr>
        <w:t xml:space="preserve">Persons under 21 receiving care in a medical facility who would be eligible under a special income standard. </w:t>
      </w:r>
      <w:r>
        <w:rPr>
          <w:rFonts w:ascii="Times New Roman" w:hAnsi="Times New Roman"/>
          <w:b w:val="false"/>
          <w:i w:val="false"/>
          <w:color w:val="000000"/>
          <w:sz w:val="22"/>
        </w:rPr>
        <w:t xml:space="preserve">Medicaid will be available to persons under the age of 21 who meet the requirements in paragraph </w:t>
      </w:r>
      <w:hyperlink r:id="rId92">
        <w:r>
          <w:rPr>
            <w:rStyle w:val="Hyperlink"/>
            <w:rFonts w:ascii="Times New Roman" w:hAnsi="Times New Roman"/>
            <w:b w:val="false"/>
            <w:i w:val="false"/>
            <w:color w:val="000000"/>
            <w:sz w:val="22"/>
          </w:rPr>
          <w:t>75.6(4)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family-related medical assistance. </w:t>
      </w:r>
      <w:r>
        <w:rPr>
          <w:rFonts w:ascii="Times New Roman" w:hAnsi="Times New Roman"/>
          <w:b w:val="false"/>
          <w:i w:val="false"/>
          <w:color w:val="000000"/>
          <w:sz w:val="22"/>
        </w:rPr>
        <w:t xml:space="preserve">Medicaid will be temporarily available to the following persons who are determined to be presumptively eligible for Medicaid pursuant to rule </w:t>
      </w:r>
      <w:hyperlink r:id="rId93">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(within MAC income limits specified in rule </w:t>
      </w:r>
      <w:hyperlink r:id="rId9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(within hawki income limits specified in </w:t>
      </w:r>
      <w:hyperlink r:id="rId95">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and other caretakers (within FMAP income limits specified in rule </w:t>
      </w:r>
      <w:hyperlink r:id="rId96">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(within MAC income limits specified in rule </w:t>
      </w:r>
      <w:hyperlink r:id="rId9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 xml:space="preserve">(249A));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EMIYA.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75.3(15)</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medically needy. </w:t>
      </w:r>
      <w:r>
        <w:rPr>
          <w:rFonts w:ascii="Times New Roman" w:hAnsi="Times New Roman"/>
          <w:b w:val="false"/>
          <w:i w:val="false"/>
          <w:color w:val="000000"/>
          <w:sz w:val="22"/>
        </w:rPr>
        <w:t xml:space="preserve">Pursuant to rule </w:t>
      </w:r>
      <w:hyperlink r:id="rId9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Medicaid will be available to children under the age of 19 and pregnant women who would be eligible for a family-related coverage group except for excess income. The coverage group is also available to a “parent” and “caretaker” as defined in rule </w:t>
      </w:r>
      <w:hyperlink r:id="rId9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who meet the requirements described in rule </w:t>
      </w:r>
      <w:hyperlink r:id="rId10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who would be eligible for a family-related coverage group or IHAWP except for excess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249A.3A</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441—75.4</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who have been screened and found to need breast or cervical cancer treatment (BCCT).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Medicaid is available to persons who meet the eligibility requirements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under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screened for breast or cervical cancer under the National Breast and Cervical Cancer Early Detection Program (NBCCEDP)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and have been found to need BCCT (including a precancerous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otherwise have creditable coverage, as that term is defined by the Health Insurance Portability and Accountability Act (HIPAA)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300gg-3(c)(1)). An individual is not considered to have creditable coverage just because the individual may receive medical services provided by the Indian Health Service, a tribal organization, or an Urban Indian Organization;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Medicaid under Iowa Code section </w:t>
      </w:r>
      <w:hyperlink r:id="rId104">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established under this subrule continues until 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receiving BCCT;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Aged 65 or 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by creditable coverage or eligible for Medicaid under Iowa Code section </w:t>
      </w:r>
      <w:hyperlink r:id="rId105">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applying for this coverage group are not subject to MAGI methodologies described in Division III of this chapter. Income eligibility is determined by the NBCCEDP.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Medicaid is temporarily available to persons who have been screened for breast or cervical cancer and found to need treatment for the cancer and who are determined to be presumptively eligible for Medicaid under BCCT pursuant to rule </w:t>
      </w:r>
      <w:hyperlink r:id="rId106">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under age 65; refugees. </w:t>
      </w:r>
      <w:r>
        <w:rPr>
          <w:rFonts w:ascii="Times New Roman" w:hAnsi="Times New Roman"/>
          <w:b w:val="false"/>
          <w:i w:val="false"/>
          <w:color w:val="000000"/>
          <w:sz w:val="22"/>
        </w:rPr>
        <w:t>Medicaid is available to persons who are under age 65 and to persons admitted to the United States as refugees who meet the eligibility requirements of a coverage group described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color w:val="000000"/>
          <w:sz w:val="22"/>
        </w:rPr>
        <w:t xml:space="preserve">Iowa health and wellness plan (IHAWP). </w:t>
      </w:r>
      <w:r>
        <w:rPr>
          <w:rFonts w:ascii="Times New Roman" w:hAnsi="Times New Roman"/>
          <w:b w:val="false"/>
          <w:i w:val="false"/>
          <w:color w:val="000000"/>
          <w:sz w:val="22"/>
        </w:rPr>
        <w:t xml:space="preserve">This coverage group is available to persons who are aged 19 or older and under the age of 65 who meet the eligibility requirements of the IHAWP as described in </w:t>
      </w:r>
      <w:hyperlink r:id="rId10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and who are not eligible for Medicaid under a family-related or non-MAGI-related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 xml:space="preserve">Medicaid will be temporarily available to persons who are aged 19 or older and under the age of 65 who are determined to be presumptively eligible for IHAWP medical assistance pursuant to rule </w:t>
      </w:r>
      <w:hyperlink r:id="rId108">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color w:val="000000"/>
          <w:sz w:val="22"/>
        </w:rPr>
        <w:t xml:space="preserve">Refugee medical assistance (RMA). </w:t>
      </w:r>
      <w:r>
        <w:rPr>
          <w:rFonts w:ascii="Times New Roman" w:hAnsi="Times New Roman"/>
          <w:b w:val="false"/>
          <w:i w:val="false"/>
          <w:color w:val="000000"/>
          <w:sz w:val="22"/>
        </w:rPr>
        <w:t xml:space="preserve">RMA is available to refugees, subject to the time limit set forth in rule </w:t>
      </w:r>
      <w:hyperlink r:id="rId109">
        <w:r>
          <w:rPr>
            <w:rStyle w:val="Hyperlink"/>
            <w:rFonts w:ascii="Times New Roman" w:hAnsi="Times New Roman"/>
            <w:b w:val="false"/>
            <w:i w:val="false"/>
            <w:color w:val="000000"/>
            <w:sz w:val="22"/>
          </w:rPr>
          <w:t>441—60.7</w:t>
        </w:r>
      </w:hyperlink>
      <w:r>
        <w:rPr>
          <w:rFonts w:ascii="Times New Roman" w:hAnsi="Times New Roman"/>
          <w:b w:val="false"/>
          <w:i w:val="false"/>
          <w:color w:val="000000"/>
          <w:sz w:val="22"/>
        </w:rPr>
        <w:t xml:space="preserve">(217) and paragraph </w:t>
      </w:r>
      <w:hyperlink r:id="rId110">
        <w:r>
          <w:rPr>
            <w:rStyle w:val="Hyperlink"/>
            <w:rFonts w:ascii="Times New Roman" w:hAnsi="Times New Roman"/>
            <w:b w:val="false"/>
            <w:i w:val="false"/>
            <w:color w:val="000000"/>
            <w:sz w:val="22"/>
          </w:rPr>
          <w:t>75.5(3)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the requirements of this rule are met and eligibility does not exist under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limit begins the month of entry, regardless of which day during the month is the refugee’s date of entry. The time limit applies to each person, not to each case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refugee must meet the immigration status and other non-financial requirements described in </w:t>
      </w:r>
      <w:hyperlink r:id="rId111">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eligibility will be determined according to MAGI methodology pursuant to Division III of this chapter. Countable household income must not exceed the FMAP limits prescribed at rule </w:t>
      </w:r>
      <w:hyperlink r:id="rId112">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Medicaid, the refugee is not required to meet the work and training requirements specified in rule </w:t>
      </w:r>
      <w:hyperlink r:id="rId113">
        <w:r>
          <w:rPr>
            <w:rStyle w:val="Hyperlink"/>
            <w:rFonts w:ascii="Times New Roman" w:hAnsi="Times New Roman"/>
            <w:b w:val="false"/>
            <w:i w:val="false"/>
            <w:color w:val="000000"/>
            <w:sz w:val="22"/>
          </w:rPr>
          <w:t>441—60.9</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color w:val="000000"/>
          <w:sz w:val="22"/>
        </w:rPr>
        <w:t xml:space="preserve">Extended coverage for refugees. </w:t>
      </w:r>
      <w:r>
        <w:rPr>
          <w:rFonts w:ascii="Times New Roman" w:hAnsi="Times New Roman"/>
          <w:b w:val="false"/>
          <w:i w:val="false"/>
          <w:color w:val="000000"/>
          <w:sz w:val="22"/>
        </w:rPr>
        <w:t xml:space="preserve">RMA will be available to a refugee for the remainder of the time limit described in subrule </w:t>
      </w:r>
      <w:hyperlink r:id="rId114">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when the refugee, who is a member, becomes ineligible for RMA or Medicaid under another coverage group solely due to earnings of a household member and eligibility does not exist under another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will not be required to meet any minimum program participation time frames to receive RMA coverage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returns to the household after the family becomes ineligible for RMA or Medicaid may be included in the extended RMA household if the person was included in the RMA or Medicaid household the month the family became ineligible for RMA or other Medicaid.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Aged, blind or disabled. </w:t>
      </w:r>
      <w:r>
        <w:rPr>
          <w:rFonts w:ascii="Times New Roman" w:hAnsi="Times New Roman"/>
          <w:b w:val="false"/>
          <w:i w:val="false"/>
          <w:color w:val="000000"/>
          <w:sz w:val="22"/>
        </w:rPr>
        <w:t>Medicaid is available to persons who are aged, blind or disabled and who meet the eligibility requirements of a coverage group described within this rule, the general conditions of eligibility, and the eligibility factors specific to non-MAGI-related Medicaid described in Division IV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SSI or state supplementary assistance; persons eligible for but not receiving SSI.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recipients. </w:t>
      </w:r>
      <w:r>
        <w:rPr>
          <w:rFonts w:ascii="Times New Roman" w:hAnsi="Times New Roman"/>
          <w:b w:val="false"/>
          <w:i w:val="false"/>
          <w:color w:val="000000"/>
          <w:sz w:val="22"/>
        </w:rPr>
        <w:t>Medicaid will be available to all persons receiving SSI payments as authorized by the SSA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 xml:space="preserve">Medicaid will be available to all recipients of state supplementary assistance as authorized by Iowa Code chapter </w:t>
      </w:r>
      <w:hyperlink r:id="rId115">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441—Chapters </w:t>
      </w:r>
      <w:hyperlink r:id="rId116">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117">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and Title XVI of the Act. This applies to mandatory and optional state supplementary assistance payments, whether administered by the department or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SSI. </w:t>
      </w:r>
      <w:r>
        <w:rPr>
          <w:rFonts w:ascii="Times New Roman" w:hAnsi="Times New Roman"/>
          <w:b w:val="false"/>
          <w:i w:val="false"/>
          <w:color w:val="000000"/>
          <w:sz w:val="22"/>
        </w:rPr>
        <w:t>Medicaid will be available to aged, blind, or disabled persons as described below who meet the income and resource guidelines of SSI but who are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in rule </w:t>
      </w:r>
      <w:hyperlink r:id="rId11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determined pursuant to rule </w:t>
      </w:r>
      <w:hyperlink r:id="rId120">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children for this coverage group, resources of the child and ineligible parent or stepparent, regardless of age, will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adults for this coverage group, resources of non-MAGI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who do not receive an SSI payment but are considered as SSI recipients. </w:t>
      </w:r>
      <w:r>
        <w:rPr>
          <w:rFonts w:ascii="Times New Roman" w:hAnsi="Times New Roman"/>
          <w:b w:val="false"/>
          <w:i w:val="false"/>
          <w:color w:val="000000"/>
          <w:sz w:val="22"/>
        </w:rPr>
        <w:t xml:space="preserve">Medicaid will be available to a person who is not receiving an SSI payment because the SSA has determined that the person exceeds the income limit when the department still considers the person to be an SSI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not eligible for SSI or state supplementary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SSI because of requirements that do not apply under Title XIX of the Act. </w:t>
      </w:r>
      <w:r>
        <w:rPr>
          <w:rFonts w:ascii="Times New Roman" w:hAnsi="Times New Roman"/>
          <w:b w:val="false"/>
          <w:i w:val="false"/>
          <w:color w:val="000000"/>
          <w:sz w:val="22"/>
        </w:rPr>
        <w:t>Medicaid will be available to persons who would be eligible for SSI except for an eligibility requirement used in that program that is specifically prohibited under Title XIX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social security cost-of-living increases received. </w:t>
      </w:r>
      <w:r>
        <w:rPr>
          <w:rFonts w:ascii="Times New Roman" w:hAnsi="Times New Roman"/>
          <w:b w:val="false"/>
          <w:i w:val="false"/>
          <w:color w:val="000000"/>
          <w:sz w:val="22"/>
        </w:rPr>
        <w:t>Medicaid will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SSI and social security or state supplementary assistance and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SSI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if all of the social security cost-of-living increases that they and their financially responsible spouses, parents, and dependent children received since they were last eligible for and received social security and SSI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that they receive social security benefits from a parent’s account based on disability. </w:t>
      </w:r>
      <w:r>
        <w:rPr>
          <w:rFonts w:ascii="Times New Roman" w:hAnsi="Times New Roman"/>
          <w:b w:val="false"/>
          <w:i w:val="false"/>
          <w:color w:val="000000"/>
          <w:sz w:val="22"/>
        </w:rPr>
        <w:t>Medicaid will be available to persons who receive SSI or state supplementary assistance after their eighteenth birthday because of a disability or blindness that began before the age of 22 and who would continue to receive SSI or state supplementary assistance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Medicaid will be available to persons and families whose assistance grants were canceled as a result of the increase in social security benefits October 1, 1972, as long as these persons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Medicaid will be available to all current social security recipients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and received a widow’s or widower’s disability benefit and SSI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became ineligible for SSI or state supplementary assistance because of an increase in their widow’s or widower’s benefit that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been continuously eligible for a widow’s or widower’s benefit from the first month the increase was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They submitted an application prior to July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SSI or state supplementary assistance because of the receipt of social security benefits. </w:t>
      </w:r>
      <w:r>
        <w:rPr>
          <w:rFonts w:ascii="Times New Roman" w:hAnsi="Times New Roman"/>
          <w:b w:val="false"/>
          <w:i w:val="false"/>
          <w:color w:val="000000"/>
          <w:sz w:val="22"/>
        </w:rPr>
        <w:t>Medicaid will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SSI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SSI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 xml:space="preserve">Medicaid will be available to persons who were receiving SSI as of August 22, 1996, and who would continue to be eligible for SSI but for </w:t>
      </w:r>
      <w:r>
        <w:rPr>
          <w:rFonts w:ascii="Times New Roman" w:hAnsi="Times New Roman"/>
          <w:b w:val="false"/>
          <w:i w:val="false"/>
          <w:color w:val="000000"/>
          <w:sz w:val="22"/>
        </w:rPr>
        <w:t>Section 211(a) of the Personal Responsibility and Work Opportunity Act of 1996</w:t>
      </w:r>
      <w:r>
        <w:rPr>
          <w:rFonts w:ascii="Times New Roman" w:hAnsi="Times New Roman"/>
          <w:b w:val="false"/>
          <w:i w:val="false"/>
          <w:color w:val="000000"/>
          <w:sz w:val="22"/>
        </w:rPr>
        <w:t xml:space="preserve"> (Public Law 104-193) as amended to August 1, 2025, and </w:t>
      </w:r>
      <w:r>
        <w:rPr>
          <w:rFonts w:ascii="Times New Roman" w:hAnsi="Times New Roman"/>
          <w:b w:val="false"/>
          <w:i w:val="false"/>
          <w:color w:val="000000"/>
          <w:sz w:val="22"/>
        </w:rPr>
        <w:t>42 U.S.C. 1382c(a)(3)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 xml:space="preserve">Medicaid will be available to the person living with and essential to the welfare of a Title XVI beneficiary, provided the essential person was eligible for Medicaid as of December 31, 1973. The person will continue to be eligible for Medicaid as long as the person continues to meet the definition of “essential person” in effect for the Old Age Assistance, Aid to the Blind, or Aid to the Permanently and Totally Disabled public assistance programs on December 31, 1973, and as determined by SSA.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75.6(4)</w:t>
      </w:r>
      <w:r>
        <w:rPr>
          <w:rFonts w:ascii="Times New Roman" w:hAnsi="Times New Roman"/>
          <w:b w:val="false"/>
          <w:i w:val="false"/>
          <w:color w:val="000000"/>
          <w:sz w:val="22"/>
        </w:rPr>
        <w:t> </w:t>
      </w:r>
      <w:r>
        <w:rPr>
          <w:rFonts w:ascii="Times New Roman" w:hAnsi="Times New Roman"/>
          <w:b w:val="false"/>
          <w:i/>
          <w:color w:val="000000"/>
          <w:sz w:val="22"/>
        </w:rPr>
        <w:t xml:space="preserve">Persons residing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for their institutional status. </w:t>
      </w:r>
      <w:r>
        <w:rPr>
          <w:rFonts w:ascii="Times New Roman" w:hAnsi="Times New Roman"/>
          <w:b w:val="false"/>
          <w:i w:val="false"/>
          <w:color w:val="000000"/>
          <w:sz w:val="22"/>
        </w:rPr>
        <w:t>Medicaid will be available to persons receiving care in a medical institution who would be eligible for SSI or state supplementary assistance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121">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122">
        <w:r>
          <w:rPr>
            <w:rStyle w:val="Hyperlink"/>
            <w:rFonts w:ascii="Times New Roman" w:hAnsi="Times New Roman"/>
            <w:b w:val="false"/>
            <w:i w:val="false"/>
            <w:color w:val="000000"/>
            <w:sz w:val="22"/>
          </w:rPr>
          <w:t>441—81.2</w:t>
        </w:r>
      </w:hyperlink>
      <w:r>
        <w:rPr>
          <w:rFonts w:ascii="Times New Roman" w:hAnsi="Times New Roman"/>
          <w:b w:val="false"/>
          <w:i w:val="false"/>
          <w:color w:val="000000"/>
          <w:sz w:val="22"/>
        </w:rPr>
        <w:t xml:space="preserve">(249A), </w:t>
      </w:r>
      <w:hyperlink r:id="rId123">
        <w:r>
          <w:rPr>
            <w:rStyle w:val="Hyperlink"/>
            <w:rFonts w:ascii="Times New Roman" w:hAnsi="Times New Roman"/>
            <w:b w:val="false"/>
            <w:i w:val="false"/>
            <w:color w:val="000000"/>
            <w:sz w:val="22"/>
          </w:rPr>
          <w:t>441—82.6</w:t>
        </w:r>
      </w:hyperlink>
      <w:r>
        <w:rPr>
          <w:rFonts w:ascii="Times New Roman" w:hAnsi="Times New Roman"/>
          <w:b w:val="false"/>
          <w:i w:val="false"/>
          <w:color w:val="000000"/>
          <w:sz w:val="22"/>
        </w:rPr>
        <w:t xml:space="preserve">(3) and </w:t>
      </w:r>
      <w:hyperlink r:id="rId124">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intellectually disabled (ICF-ID),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SSI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meets all SSI eligibility requirements except for income or is under age 21 pursuant to subrule </w:t>
      </w:r>
      <w:hyperlink r:id="rId12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will be considered as provided for non-MAGI-related coverage groups under rule </w:t>
      </w:r>
      <w:hyperlink r:id="rId126">
        <w:r>
          <w:rPr>
            <w:rStyle w:val="Hyperlink"/>
            <w:rFonts w:ascii="Times New Roman" w:hAnsi="Times New Roman"/>
            <w:b w:val="false"/>
            <w:i w:val="false"/>
            <w:color w:val="000000"/>
            <w:sz w:val="22"/>
          </w:rPr>
          <w:t>441—75.80</w:t>
        </w:r>
      </w:hyperlink>
      <w:r>
        <w:rPr>
          <w:rFonts w:ascii="Times New Roman" w:hAnsi="Times New Roman"/>
          <w:b w:val="false"/>
          <w:i w:val="false"/>
          <w:color w:val="000000"/>
          <w:sz w:val="22"/>
        </w:rPr>
        <w:t>(249A). In establishing eligibility for persons aged 21 or older for this coverage group, resources will be considered as provided for non-MAGI-related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 this group will not be eligible until the person has been institutionalized for a period of 30 consecutive days, and eligibility will be effective no earlier than the first day of the month in which the 30-day period begins. A period of 30 days means beginning from 12 a.m. 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will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75.6(5)</w:t>
      </w: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programs. </w:t>
      </w:r>
      <w:r>
        <w:rPr>
          <w:rFonts w:ascii="Times New Roman" w:hAnsi="Times New Roman"/>
          <w:b w:val="false"/>
          <w:i w:val="false"/>
          <w:color w:val="000000"/>
          <w:sz w:val="22"/>
        </w:rPr>
        <w:t>The purpose of the coverage groups within this subrule is to assist low-income persons with the payments of Medicare premiums, coinsurance, and deductibles. These groups are known as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(QMB)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FPL applicable to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7">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435.909(b)</w:t>
      </w:r>
      <w:r>
        <w:rPr>
          <w:rFonts w:ascii="Times New Roman" w:hAnsi="Times New Roman"/>
          <w:b w:val="false"/>
          <w:i w:val="false"/>
          <w:color w:val="000000"/>
          <w:sz w:val="22"/>
        </w:rPr>
        <w:t>, SSI recipients are automatically enrolled in the QMB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will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applicable FPL for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enroll in Medicare Part A of Title XVIII under Section 1818A of the Act (as added by </w:t>
      </w:r>
      <w:r>
        <w:rPr>
          <w:rFonts w:ascii="Times New Roman" w:hAnsi="Times New Roman"/>
          <w:b w:val="false"/>
          <w:i w:val="false"/>
          <w:color w:val="000000"/>
          <w:sz w:val="22"/>
        </w:rPr>
        <w:t>Section 6012 of the Omnibus Budget Reconciliation Act</w:t>
      </w:r>
      <w:r>
        <w:rPr>
          <w:rFonts w:ascii="Times New Roman" w:hAnsi="Times New Roman"/>
          <w:b w:val="false"/>
          <w:i w:val="false"/>
          <w:color w:val="000000"/>
          <w:sz w:val="22"/>
        </w:rPr>
        <w:t xml:space="preserve">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FPL but is less than 120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9">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1">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benefits to cover the cost of the Medicare Part B premium will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FPL but is less than 135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will be determined the same as under the SSI program unless the person lives and is expected to live at least 30 consecutive days in a medical institution and has a spouse at home, in which case the resource determination will be made according to subrules </w:t>
      </w:r>
      <w:hyperlink r:id="rId132">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4">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75.6(6)</w:t>
      </w:r>
      <w:r>
        <w:rPr>
          <w:rFonts w:ascii="Times New Roman" w:hAnsi="Times New Roman"/>
          <w:b w:val="false"/>
          <w:i w:val="false"/>
          <w:color w:val="000000"/>
          <w:sz w:val="22"/>
        </w:rPr>
        <w:t> </w:t>
      </w:r>
      <w:r>
        <w:rPr>
          <w:rFonts w:ascii="Times New Roman" w:hAnsi="Times New Roman"/>
          <w:b w:val="false"/>
          <w:i/>
          <w:color w:val="000000"/>
          <w:sz w:val="22"/>
        </w:rPr>
        <w:t xml:space="preserve">Medicaid for employed people with disabilities (MEPD).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135">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 xml:space="preserve">(249A), except that being engaged in substantial gainful activity will not preclude a determination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FPL for the family. Family income will include gross income of all family members, less SSI program disregards, exemptions, and exclusions, including the earned income disregards. The social security cost-of-living increase will be excluded in the current calendar year for January until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pursuant to paragraph </w:t>
      </w:r>
      <w:hyperlink r:id="rId136">
        <w:r>
          <w:rPr>
            <w:rStyle w:val="Hyperlink"/>
            <w:rFonts w:ascii="Times New Roman" w:hAnsi="Times New Roman"/>
            <w:b w:val="false"/>
            <w:i w:val="false"/>
            <w:color w:val="000000"/>
            <w:sz w:val="22"/>
          </w:rPr>
          <w:t>75.6(6)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Medicaid under another coverage group set out in this rule (other than the medically needy coverage groups in rule </w:t>
      </w:r>
      <w:hyperlink r:id="rId13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disregarding all income, up to $10,000 of available resources for an individual and $21,000 for a couple, and any additional resources held by the disabled individual in a retirement account, a medical savings account, or 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pursuant to paragraph </w:t>
      </w:r>
      <w:hyperlink r:id="rId13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whose gross income is greater than 150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person whose gross income exceeds 150 percent of the FPL for an individual, eligibility is conditional upon payment of a premium. Gross income includes all earned and unearned income of the conditionally eligible person, except that income attributable to a social security cost-of-living adjustment will be included only in determining premium liability based on a subsequently published FPL. A monthly premium will be assessed at the time of application and at the annual review. The premium amounts and the FPL increments above 150 percent of the FPL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will be established based on projected average monthly income. The monthly premium established will not be increased for any reason before the next eligibility review. The premium will not be reduced due to a change in the FPL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forms specified by the department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44"/>
        <w:gridCol w:w="4224"/>
      </w:tblGrid>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IF THE INCOME OF THE APPLICANT IS ABOVE:</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THE MONTHLY PREMIUM IS:</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165%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$60</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$72</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225%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$115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$175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$238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$296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$358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$421</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1000%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1480%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$931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Medicaid eligibility will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for each month is due the fourteenth day of the month the premium is to cover.</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any premium payment due in the month it is to cover is not received by the due date, Medicaid eligibility will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received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prior months when a full payment has not been received. Payments will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premiums for all months above have been paid, any excess will be held and applied to any months for which eligibility is subsequently established, as specified in numbered paragraphs </w:t>
      </w:r>
      <w:hyperlink r:id="rId139">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(7)“1,” “2,” and “3” above, and then to future months when a premium becomes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excess on an inactive account will be refunded to the client after two calendar months of inactivity, or no longer being assessed a monthly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the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an individual is canceled from Medicaid due to nonpayment of premiums, the individual must reapply to establish Medicaid eligibility unless the reopening provisions of this subrule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premium due in the month it is to cover is not received by the due date, a notice of decision will be issued to cancel Medicaid. The notice will be provided in accordance with </w:t>
      </w:r>
      <w:hyperlink r:id="rId14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will include reopening provisions that apply if payment is received, as well as appeal rights under </w:t>
      </w:r>
      <w:hyperlink r:id="rId1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form specified by the department will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will remain eligible for a period of six months from the month of the change in their medical condition or loss of employment as long as they intend to return to work and continue to meet all other eligibility criteria under this subrule. Members shall submit a form prescribed by the department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w:t>
      </w:r>
      <w:r>
        <w:rPr>
          <w:rFonts w:ascii="Times New Roman" w:hAnsi="Times New Roman"/>
          <w:b w:val="false"/>
          <w:i w:val="false"/>
          <w:color w:val="000000"/>
          <w:sz w:val="22"/>
        </w:rPr>
        <w:t>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accounts”</w:t>
      </w:r>
      <w:r>
        <w:rPr>
          <w:rFonts w:ascii="Times New Roman" w:hAnsi="Times New Roman"/>
          <w:b w:val="false"/>
          <w:i w:val="false"/>
          <w:color w:val="000000"/>
          <w:sz w:val="22"/>
        </w:rPr>
        <w:t>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device”</w:t>
      </w:r>
      <w:r>
        <w:rPr>
          <w:rFonts w:ascii="Times New Roman" w:hAnsi="Times New Roman"/>
          <w:b w:val="false"/>
          <w:i w:val="false"/>
          <w:color w:val="000000"/>
          <w:sz w:val="22"/>
        </w:rPr>
        <w:t>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w:t>
      </w:r>
      <w:r>
        <w:rPr>
          <w:rFonts w:ascii="Times New Roman" w:hAnsi="Times New Roman"/>
          <w:b w:val="false"/>
          <w:i w:val="false"/>
          <w:color w:val="000000"/>
          <w:sz w:val="22"/>
        </w:rPr>
        <w:t>29 U.S.C. §3002(4)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under the age of 18 and unmarried, includes parents living with the individual, unmarried siblings under the age of 18 and living with the individual, and children of the individual who live with the individual. If the individual is 18 years of age or older, or married, “family” includes the individual’s spouse living with the individual and any children living with the individual who are under the age of 18 and unmarried. No other persons will be considered members of an individual’s family. An individual living alone or with others not listed above will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savings account”</w:t>
      </w:r>
      <w:r>
        <w:rPr>
          <w:rFonts w:ascii="Times New Roman" w:hAnsi="Times New Roman"/>
          <w:b w:val="false"/>
          <w:i w:val="false"/>
          <w:color w:val="000000"/>
          <w:sz w:val="22"/>
        </w:rPr>
        <w:t> </w:t>
      </w:r>
      <w:r>
        <w:rPr>
          <w:rFonts w:ascii="Times New Roman" w:hAnsi="Times New Roman"/>
          <w:b w:val="false"/>
          <w:i w:val="false"/>
          <w:color w:val="000000"/>
          <w:sz w:val="22"/>
        </w:rPr>
        <w:t>means an account exempt from federal income taxation pursuant to Section 220 of the United States Internal Revenue Code (</w:t>
      </w:r>
      <w:r>
        <w:rPr>
          <w:rFonts w:ascii="Times New Roman" w:hAnsi="Times New Roman"/>
          <w:b w:val="false"/>
          <w:i w:val="false"/>
          <w:color w:val="000000"/>
          <w:sz w:val="22"/>
        </w:rPr>
        <w:t>26 U.S.C. §220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retirement or pension fund or account, listed in Iowa Code section </w:t>
      </w:r>
      <w:hyperlink r:id="rId142">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75.6(7)</w:t>
      </w:r>
      <w:r>
        <w:rPr>
          <w:rFonts w:ascii="Times New Roman" w:hAnsi="Times New Roman"/>
          <w:b w:val="false"/>
          <w:i w:val="false"/>
          <w:color w:val="000000"/>
          <w:sz w:val="22"/>
        </w:rPr>
        <w:t> </w:t>
      </w:r>
      <w:r>
        <w:rPr>
          <w:rFonts w:ascii="Times New Roman" w:hAnsi="Times New Roman"/>
          <w:b w:val="false"/>
          <w:i/>
          <w:color w:val="000000"/>
          <w:sz w:val="22"/>
        </w:rPr>
        <w:t xml:space="preserve">Medicaid for kids with special needs (MKSN). </w:t>
      </w:r>
      <w:r>
        <w:rPr>
          <w:rFonts w:ascii="Times New Roman" w:hAnsi="Times New Roman"/>
          <w:b w:val="false"/>
          <w:i w:val="false"/>
          <w:color w:val="000000"/>
          <w:sz w:val="22"/>
        </w:rPr>
        <w:t>Medicaid will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143">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 based on the disability standards for children used for SSI benefits under Title XVI of the Act but without regard to any income or asset eligibility requirements of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FPL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includes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unmarried siblings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hyperlink r:id="rId144">
        <w:r>
          <w:rPr>
            <w:rStyle w:val="Hyperlink"/>
            <w:rFonts w:ascii="Times New Roman" w:hAnsi="Times New Roman"/>
            <w:b w:val="false"/>
            <w:i w:val="false"/>
            <w:color w:val="000000"/>
            <w:sz w:val="22"/>
          </w:rPr>
          <w:t>75.6(7)</w:t>
        </w:r>
      </w:hyperlink>
      <w:r>
        <w:rPr>
          <w:rFonts w:ascii="Times New Roman" w:hAnsi="Times New Roman"/>
          <w:b w:val="false"/>
          <w:i/>
          <w:color w:val="000000"/>
          <w:sz w:val="22"/>
        </w:rPr>
        <w:t>“d”</w:t>
      </w:r>
      <w:r>
        <w:rPr>
          <w:rFonts w:ascii="Times New Roman" w:hAnsi="Times New Roman"/>
          <w:b w:val="false"/>
          <w:i w:val="false"/>
          <w:color w:val="000000"/>
          <w:sz w:val="22"/>
        </w:rPr>
        <w:t xml:space="preserve">(1) will be considered a member of the child’s household. A person who receives medically needy coverage with a spenddown or limited benefits such as Medicare savings programs is not considered to be “receiving Medicaid” for the purposes of subparagraph </w:t>
      </w:r>
      <w:r>
        <w:rPr>
          <w:rFonts w:ascii="Times New Roman" w:hAnsi="Times New Roman"/>
          <w:b w:val="false"/>
          <w:i/>
          <w:color w:val="000000"/>
          <w:sz w:val="22"/>
        </w:rPr>
        <w:t>“d”</w:t>
      </w:r>
      <w:r>
        <w:rPr>
          <w:rFonts w:ascii="Times New Roman" w:hAnsi="Times New Roman"/>
          <w:b w:val="false"/>
          <w:i w:val="false"/>
          <w:color w:val="000000"/>
          <w:sz w:val="22"/>
        </w:rPr>
        <w:t xml:space="preserve">(1). A child who lives alone or with persons not identified in subparagraph </w:t>
      </w:r>
      <w:r>
        <w:rPr>
          <w:rFonts w:ascii="Times New Roman" w:hAnsi="Times New Roman"/>
          <w:b w:val="false"/>
          <w:i/>
          <w:color w:val="000000"/>
          <w:sz w:val="22"/>
        </w:rPr>
        <w:t>“d”</w:t>
      </w:r>
      <w:r>
        <w:rPr>
          <w:rFonts w:ascii="Times New Roman" w:hAnsi="Times New Roman"/>
          <w:b w:val="false"/>
          <w:i w:val="false"/>
          <w:color w:val="000000"/>
          <w:sz w:val="22"/>
        </w:rPr>
        <w:t>(1) will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this purpose, all unearned and earned income of the household,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will be available to members eligible for waiver services as defined in </w:t>
      </w:r>
      <w:hyperlink r:id="rId14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0396D</w:t>
      </w:r>
      <w:r>
        <w:rPr>
          <w:rFonts w:ascii="Times New Roman" w:hAnsi="Times New Roman"/>
          <w:b w:val="false"/>
          <w:i w:val="false"/>
          <w:color w:val="000000"/>
          <w:sz w:val="16"/>
        </w:rPr>
        <w:t>, IAB 6/24/26,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Medicaid will be temporarily available to persons who are determined to be presumptively eligible for Medicaid pursuant to this subrule. Presumptive eligibility will be determined by a qualified entity (QE) and will be based solely on the applicant’s attested circumstances as provided to the QE and entered by the QE directly online into the Medicaid Presumptive Eligibility Portal (MPEP) system. Verification cannot be requested or required for a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Persons and families requesting assistance under this subrule shall apply with a QE using the methods described in </w:t>
      </w:r>
      <w:hyperlink r:id="rId146">
        <w:r>
          <w:rPr>
            <w:rStyle w:val="Hyperlink"/>
            <w:rFonts w:ascii="Times New Roman" w:hAnsi="Times New Roman"/>
            <w:b w:val="false"/>
            <w:i w:val="false"/>
            <w:color w:val="000000"/>
            <w:sz w:val="22"/>
          </w:rPr>
          <w:t>441—subrule 76.7(3)</w:t>
        </w:r>
      </w:hyperlink>
      <w:r>
        <w:rPr>
          <w:rFonts w:ascii="Times New Roman" w:hAnsi="Times New Roman"/>
          <w:b w:val="false"/>
          <w:i w:val="false"/>
          <w:color w:val="000000"/>
          <w:sz w:val="22"/>
        </w:rPr>
        <w:t xml:space="preserve">. The requirements for filing date of application, effective date of coverage, signature on application, notice and appeal rights, and full Medicaid eligibility determinations described in 441—subrules </w:t>
      </w:r>
      <w:hyperlink r:id="rId147">
        <w:r>
          <w:rPr>
            <w:rStyle w:val="Hyperlink"/>
            <w:rFonts w:ascii="Times New Roman" w:hAnsi="Times New Roman"/>
            <w:b w:val="false"/>
            <w:i w:val="false"/>
            <w:color w:val="000000"/>
            <w:sz w:val="22"/>
          </w:rPr>
          <w:t>76.7(4)</w:t>
        </w:r>
      </w:hyperlink>
      <w:r>
        <w:rPr>
          <w:rFonts w:ascii="Times New Roman" w:hAnsi="Times New Roman"/>
          <w:b w:val="false"/>
          <w:i w:val="false"/>
          <w:color w:val="000000"/>
          <w:sz w:val="22"/>
        </w:rPr>
        <w:t xml:space="preserve"> through </w:t>
      </w:r>
      <w:hyperlink r:id="rId148">
        <w:r>
          <w:rPr>
            <w:rStyle w:val="Hyperlink"/>
            <w:rFonts w:ascii="Times New Roman" w:hAnsi="Times New Roman"/>
            <w:b w:val="false"/>
            <w:i w:val="false"/>
            <w:color w:val="000000"/>
            <w:sz w:val="22"/>
          </w:rPr>
          <w:t>76.7(7)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applicable to all presumptive eligibility determinations except as stated otherwise within this rule. </w:t>
      </w:r>
      <w:r>
        <w:rPr>
          <w:rFonts w:ascii="Times New Roman" w:hAnsi="Times New Roman"/>
          <w:b w:val="false"/>
          <w:i w:val="false"/>
          <w:color w:val="000000"/>
          <w:sz w:val="22"/>
        </w:rPr>
        <w:t>The following eligibility requirements are applicable to all presumptive eligibility determinations, except as stated otherwise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Household size will be determined using MAGI methodology as described in rule </w:t>
      </w:r>
      <w:hyperlink r:id="rId149">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Countable income will be determined using MAGI methodology as described in rule </w:t>
      </w:r>
      <w:hyperlink r:id="rId150">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Citizenship or qualified noncitizen status. </w:t>
      </w:r>
      <w:r>
        <w:rPr>
          <w:rFonts w:ascii="Times New Roman" w:hAnsi="Times New Roman"/>
          <w:b w:val="false"/>
          <w:i w:val="false"/>
          <w:color w:val="000000"/>
          <w:sz w:val="22"/>
        </w:rPr>
        <w:t xml:space="preserve">The person for whom assistance is requested must be a citizen of the United States or a qualified noncitizen as defined in </w:t>
      </w:r>
      <w:hyperlink r:id="rId15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 xml:space="preserve">(249A), except for a pregnant woman described in paragraph </w:t>
      </w:r>
      <w:hyperlink r:id="rId152">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The person for whom assistance is requested must be a resident of Iowa as described in rule </w:t>
      </w:r>
      <w:hyperlink r:id="rId15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Prior presumptive eligibility. </w:t>
      </w:r>
      <w:r>
        <w:rPr>
          <w:rFonts w:ascii="Times New Roman" w:hAnsi="Times New Roman"/>
          <w:b w:val="false"/>
          <w:i w:val="false"/>
          <w:color w:val="000000"/>
          <w:sz w:val="22"/>
        </w:rPr>
        <w:t xml:space="preserve">A person will not be determined presumptively eligible more than once in a 12 calendar month period, except as allowed in paragraph </w:t>
      </w:r>
      <w:hyperlink r:id="rId154">
        <w:r>
          <w:rPr>
            <w:rStyle w:val="Hyperlink"/>
            <w:rFonts w:ascii="Times New Roman" w:hAnsi="Times New Roman"/>
            <w:b w:val="false"/>
            <w:i w:val="false"/>
            <w:color w:val="000000"/>
            <w:sz w:val="22"/>
          </w:rPr>
          <w:t>75.7(3)</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first month of the 12 calendar month period begins with the calendar month the application is received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color w:val="000000"/>
          <w:sz w:val="22"/>
        </w:rPr>
        <w:t xml:space="preserve">Categories of eligibility and specific requirements. </w:t>
      </w:r>
      <w:r>
        <w:rPr>
          <w:rFonts w:ascii="Times New Roman" w:hAnsi="Times New Roman"/>
          <w:b w:val="false"/>
          <w:i w:val="false"/>
          <w:color w:val="000000"/>
          <w:sz w:val="22"/>
        </w:rPr>
        <w:t xml:space="preserve">The following categories of persons are eligible for a presumptive determination. Persons applying for a presumptive determination must meet all specific requirements related to the category of coverage in addition to the requirements in subrule </w:t>
      </w:r>
      <w:hyperlink r:id="rId155">
        <w:r>
          <w:rPr>
            <w:rStyle w:val="Hyperlink"/>
            <w:rFonts w:ascii="Times New Roman" w:hAnsi="Times New Roman"/>
            <w:b w:val="false"/>
            <w:i w:val="false"/>
            <w:color w:val="000000"/>
            <w:sz w:val="22"/>
          </w:rPr>
          <w:t>75.7(2)</w:t>
        </w:r>
      </w:hyperlink>
      <w:r>
        <w:rPr>
          <w:rFonts w:ascii="Times New Roman" w:hAnsi="Times New Roman"/>
          <w:b w:val="false"/>
          <w:i w:val="false"/>
          <w:color w:val="000000"/>
          <w:sz w:val="22"/>
        </w:rPr>
        <w:t xml:space="preserve">, except as stated otherwise within this subrule. For categories where age is an eligibility factor, the effect of reaching an age limit on the person’s eligibility will be determined pursuant to rule </w:t>
      </w:r>
      <w:hyperlink r:id="rId15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children. </w:t>
      </w:r>
      <w:r>
        <w:rPr>
          <w:rFonts w:ascii="Times New Roman" w:hAnsi="Times New Roman"/>
          <w:b w:val="false"/>
          <w:i w:val="false"/>
          <w:color w:val="000000"/>
          <w:sz w:val="22"/>
        </w:rPr>
        <w:t>Presumptive eligibility is available to children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Age—the child must be under the age of 19 as described in rule </w:t>
      </w:r>
      <w:hyperlink r:id="rId157">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limits—household income must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MAC program limit for infants and the applicable household size as specified in rule </w:t>
      </w:r>
      <w:hyperlink r:id="rId15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when the child is under the age of 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hawki program limit for a household of the same size as specified in </w:t>
      </w:r>
      <w:hyperlink r:id="rId159">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 xml:space="preserve"> when the child is aged 0 through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parents and other caretakers. </w:t>
      </w:r>
      <w:r>
        <w:rPr>
          <w:rFonts w:ascii="Times New Roman" w:hAnsi="Times New Roman"/>
          <w:b w:val="false"/>
          <w:i w:val="false"/>
          <w:color w:val="000000"/>
          <w:sz w:val="22"/>
        </w:rPr>
        <w:t>Presumptive eligibility will be available to a parent or other caretaker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family medical assistance program income limits specified in rule </w:t>
      </w:r>
      <w:hyperlink r:id="rId160">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caretaker lives with a dependent child as described in subrule </w:t>
      </w:r>
      <w:hyperlink r:id="rId16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has primary responsibility for the child’s care as described in subrule </w:t>
      </w:r>
      <w:hyperlink r:id="rId162">
        <w:r>
          <w:rPr>
            <w:rStyle w:val="Hyperlink"/>
            <w:rFonts w:ascii="Times New Roman" w:hAnsi="Times New Roman"/>
            <w:b w:val="false"/>
            <w:i w:val="false"/>
            <w:color w:val="000000"/>
            <w:sz w:val="22"/>
          </w:rPr>
          <w:t>75.51(2)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pregnant women. </w:t>
      </w:r>
      <w:r>
        <w:rPr>
          <w:rFonts w:ascii="Times New Roman" w:hAnsi="Times New Roman"/>
          <w:b w:val="false"/>
          <w:i w:val="false"/>
          <w:color w:val="000000"/>
          <w:sz w:val="22"/>
        </w:rPr>
        <w:t>Presumptive eligibility for ambulatory prenatal care is available to a woman who is pregnant and who also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MAC program limit for pregnant women specified at rule </w:t>
      </w:r>
      <w:hyperlink r:id="rId163">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for the applicable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will not be required to meet the citizen or noncitizen requirements of rule </w:t>
      </w:r>
      <w:hyperlink r:id="rId164">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Presumptive eligibility for IHAWP is available to a person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non-financial eligibility requirements described in rule </w:t>
      </w:r>
      <w:hyperlink r:id="rId165">
        <w:r>
          <w:rPr>
            <w:rStyle w:val="Hyperlink"/>
            <w:rFonts w:ascii="Times New Roman" w:hAnsi="Times New Roman"/>
            <w:b w:val="false"/>
            <w:i w:val="false"/>
            <w:color w:val="000000"/>
            <w:sz w:val="22"/>
          </w:rPr>
          <w:t>441—74.2</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not exceeding 133 percent of the FPL based on the size of the household pursuant to rule </w:t>
      </w:r>
      <w:hyperlink r:id="rId166">
        <w:r>
          <w:rPr>
            <w:rStyle w:val="Hyperlink"/>
            <w:rFonts w:ascii="Times New Roman" w:hAnsi="Times New Roman"/>
            <w:b w:val="false"/>
            <w:i w:val="false"/>
            <w:color w:val="000000"/>
            <w:sz w:val="22"/>
          </w:rPr>
          <w:t>441—74.4</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former foster care youth. </w:t>
      </w:r>
      <w:r>
        <w:rPr>
          <w:rFonts w:ascii="Times New Roman" w:hAnsi="Times New Roman"/>
          <w:b w:val="false"/>
          <w:i w:val="false"/>
          <w:color w:val="000000"/>
          <w:sz w:val="22"/>
        </w:rPr>
        <w:t xml:space="preserve">Presumptive eligibility will be available to a person who is under the age of 26, was formerly in foster care, and meets the requirements described in subrule </w:t>
      </w:r>
      <w:hyperlink r:id="rId167">
        <w:r>
          <w:rPr>
            <w:rStyle w:val="Hyperlink"/>
            <w:rFonts w:ascii="Times New Roman" w:hAnsi="Times New Roman"/>
            <w:b w:val="false"/>
            <w:i w:val="false"/>
            <w:color w:val="000000"/>
            <w:sz w:val="22"/>
          </w:rPr>
          <w:t>75.3(12)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persons who have been screened and found to need treatment for breast or cervical cancer. </w:t>
      </w:r>
      <w:r>
        <w:rPr>
          <w:rFonts w:ascii="Times New Roman" w:hAnsi="Times New Roman"/>
          <w:b w:val="false"/>
          <w:i w:val="false"/>
          <w:color w:val="000000"/>
          <w:sz w:val="22"/>
        </w:rPr>
        <w:t>Presumptive eligibility is available to a person who has been screened and found to need treatment for either breast or cervical cancer,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determined to meet the eligibility requirements described in subrule </w:t>
      </w:r>
      <w:hyperlink r:id="rId168">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will not be required to meet the eligibility requirements described in paragraph </w:t>
      </w:r>
      <w:hyperlink r:id="rId169">
        <w:r>
          <w:rPr>
            <w:rStyle w:val="Hyperlink"/>
            <w:rFonts w:ascii="Times New Roman" w:hAnsi="Times New Roman"/>
            <w:b w:val="false"/>
            <w:i w:val="false"/>
            <w:color w:val="000000"/>
            <w:sz w:val="22"/>
          </w:rPr>
          <w:t>75.7(2)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more than once in a 12 calendar month period. </w:t>
      </w:r>
      <w:r>
        <w:rPr>
          <w:rFonts w:ascii="Times New Roman" w:hAnsi="Times New Roman"/>
          <w:b w:val="false"/>
          <w:i w:val="false"/>
          <w:color w:val="000000"/>
          <w:sz w:val="22"/>
        </w:rPr>
        <w:t>A person will be determined presumptively eligible only once in a 12 calendar month period beginning with the calendar month the application is received by the qualified entity,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period of presumptive eligibility will begin each time a person is screened as described in subparagraph </w:t>
      </w:r>
      <w:hyperlink r:id="rId170">
        <w:r>
          <w:rPr>
            <w:rStyle w:val="Hyperlink"/>
            <w:rFonts w:ascii="Times New Roman" w:hAnsi="Times New Roman"/>
            <w:b w:val="false"/>
            <w:i w:val="false"/>
            <w:color w:val="000000"/>
            <w:sz w:val="22"/>
          </w:rPr>
          <w:t>75.4(1)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determined to need treatment for a new occurrence of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pregnant woman may be determined presumptively eligible for Medicaid once per pregnancy but no more than once per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period. </w:t>
      </w:r>
      <w:r>
        <w:rPr>
          <w:rFonts w:ascii="Times New Roman" w:hAnsi="Times New Roman"/>
          <w:b w:val="false"/>
          <w:i w:val="false"/>
          <w:color w:val="000000"/>
          <w:sz w:val="22"/>
        </w:rPr>
        <w:t xml:space="preserve">Presumptive eligibility is effective on the date that a qualified entity completes the presumptive eligibility determination pursuant to </w:t>
      </w:r>
      <w:hyperlink r:id="rId171">
        <w:r>
          <w:rPr>
            <w:rStyle w:val="Hyperlink"/>
            <w:rFonts w:ascii="Times New Roman" w:hAnsi="Times New Roman"/>
            <w:b w:val="false"/>
            <w:i w:val="false"/>
            <w:color w:val="000000"/>
            <w:sz w:val="22"/>
          </w:rPr>
          <w:t>441—subrule 76.7(5)</w:t>
        </w:r>
      </w:hyperlink>
      <w:r>
        <w:rPr>
          <w:rFonts w:ascii="Times New Roman" w:hAnsi="Times New Roman"/>
          <w:b w:val="false"/>
          <w:i w:val="false"/>
          <w:color w:val="000000"/>
          <w:sz w:val="22"/>
        </w:rPr>
        <w:t xml:space="preserve"> and ends as described in the paragraphs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determined presumptively eligible under paragraphs </w:t>
      </w:r>
      <w:hyperlink r:id="rId172">
        <w:r>
          <w:rPr>
            <w:rStyle w:val="Hyperlink"/>
            <w:rFonts w:ascii="Times New Roman" w:hAnsi="Times New Roman"/>
            <w:b w:val="false"/>
            <w:i w:val="false"/>
            <w:color w:val="000000"/>
            <w:sz w:val="22"/>
          </w:rPr>
          <w:t>75.7(3)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been filed, the day on which a decision is made on that application. Withdrawal of a Medicaid application before a decision is made will not affect the person’s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determined presumptively eligible under paragraph </w:t>
      </w:r>
      <w:hyperlink r:id="rId173">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(including hawki) application has been filed, the day the child is determined eligible for Medicaid, the last day of the month before the child is determined eligible for hawki, or the day the child is determined ineligible for both Medicaid and hawki. Withdrawal of a Medicaid (including hawki) application before a decision is made will not affect the child’s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75.7(5)</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paragraphs </w:t>
      </w:r>
      <w:hyperlink r:id="rId174">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will be entitled to all Medicaid-covered services, including early and periodic screening, diagnosis, and treatment (EPSDT) services for children. Payment of claims for Medicaid services provided during the presumptive period is not dependent upon the department’s determination of Medicaid or hawki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services for pregnant women determined presumptively eligible under paragraph </w:t>
      </w:r>
      <w:hyperlink r:id="rId175">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limited to ambulatory prenatal care services during the presumptive period. Payment of claims for ambulatory prenatal care services is not dependent upon a determination of Medicaid eligibility by the department. “Ambulatory prenatal care” means all Medicaid-covered services, except inpatient hospital or institutional care and charges associated with delivery of the baby (including miscarriage or termination of a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 </w:t>
      </w:r>
      <w:hyperlink r:id="rId176">
        <w:r>
          <w:rPr>
            <w:rStyle w:val="Hyperlink"/>
            <w:rFonts w:ascii="Times New Roman" w:hAnsi="Times New Roman"/>
            <w:b w:val="false"/>
            <w:i w:val="false"/>
            <w:color w:val="000000"/>
            <w:sz w:val="22"/>
          </w:rPr>
          <w:t>75.7(3)</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limited to all services offered under IHAWP pursuant to </w:t>
      </w:r>
      <w:hyperlink r:id="rId17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Payment of claims for services offered under IHAWP and provided during the presumptive eligibility period is not dependent upon the department’s determination of IHAWP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Medically needy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“Break in assistance”</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the lapse of more than three months from the end of the medically needy certification period to the beginning of the next current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the period of time not to exceed two consecutive months in which a person is conditionally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medically needy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medically needy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conditionally eligible for Medicaid under the medically needy coverage group;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whose income or assets are considered in determining eligibility for an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“Conditionally eligible”</w:t>
      </w:r>
      <w:r>
        <w:rPr>
          <w:rFonts w:ascii="Times New Roman" w:hAnsi="Times New Roman"/>
          <w:b w:val="false"/>
          <w:i w:val="false"/>
          <w:color w:val="000000"/>
          <w:sz w:val="22"/>
        </w:rPr>
        <w:t> </w:t>
      </w:r>
      <w:r>
        <w:rPr>
          <w:rFonts w:ascii="Times New Roman" w:hAnsi="Times New Roman"/>
          <w:b w:val="false"/>
          <w:i w:val="false"/>
          <w:color w:val="000000"/>
          <w:sz w:val="22"/>
        </w:rPr>
        <w:t>means that a person has completed the application process and has been assigned a medically needy certification period and spenddown amount but has not met the spenddown amount for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 would be eligible for a family-related coverage group pursuant to rule </w:t>
      </w:r>
      <w:hyperlink r:id="rId17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“FMAP-related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 would be eligible for FMAP pursuant to subrule </w:t>
      </w:r>
      <w:hyperlink r:id="rId179">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“Incurred medical expenses”</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bills paid by a client, responsible relative, or state or political subdivision program other than Medicaid during the retroactive certification period or certification period,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Unpaid medical expenses for which the client or responsible relative remains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a medically needy person who has income at or less than the medically needy income level (MNIL) or who has reduced countable income to the MNIL during the certification period through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“Necessary medical and remedial services”</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medical services recognized by law that are currently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“Needy specified relative”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nonparental specified relative, as defined for the family investment program (FIP) in rule </w:t>
      </w:r>
      <w:hyperlink r:id="rId180">
        <w:r>
          <w:rPr>
            <w:rStyle w:val="Hyperlink"/>
            <w:rFonts w:ascii="Times New Roman" w:hAnsi="Times New Roman"/>
            <w:b w:val="false"/>
            <w:i w:val="false"/>
            <w:color w:val="000000"/>
            <w:sz w:val="22"/>
          </w:rPr>
          <w:t>441—40.21(239B)</w:t>
        </w:r>
      </w:hyperlink>
      <w:r>
        <w:rPr>
          <w:rFonts w:ascii="Times New Roman" w:hAnsi="Times New Roman"/>
          <w:b w:val="false"/>
          <w:i w:val="false"/>
          <w:color w:val="000000"/>
          <w:sz w:val="22"/>
        </w:rPr>
        <w:t xml:space="preserve">, who meets all of the eligibility requirements of the FMAP coverage group pursuant to subrule </w:t>
      </w:r>
      <w:hyperlink r:id="rId181">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“Noncovered Medicaid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medically needy program means medical services that are not covered under Medicaid because the provider was not enrolled in Medicaid, the services are ones that are otherwise not covered under Medicaid, the bill is for a responsible relative who is not included in the Medically needy eligibility determination pursuant to subrule </w:t>
      </w:r>
      <w:hyperlink r:id="rId182">
        <w:r>
          <w:rPr>
            <w:rStyle w:val="Hyperlink"/>
            <w:rFonts w:ascii="Times New Roman" w:hAnsi="Times New Roman"/>
            <w:b w:val="false"/>
            <w:i w:val="false"/>
            <w:color w:val="000000"/>
            <w:sz w:val="22"/>
          </w:rPr>
          <w:t>75.8(3)</w:t>
        </w:r>
      </w:hyperlink>
      <w:r>
        <w:rPr>
          <w:rFonts w:ascii="Times New Roman" w:hAnsi="Times New Roman"/>
          <w:b w:val="false"/>
          <w:i w:val="false"/>
          <w:color w:val="000000"/>
          <w:sz w:val="22"/>
        </w:rPr>
        <w:t xml:space="preserve"> or the bill is for services delivered before the start of a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“Obligated medical expense”</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a medical expense for which the client or responsible relative continues to be legally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“Ongoing eligibility”</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that eligibility continues for an SSI-related, family-related, or FMAP-related medically needy person with a zero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“Recertification”</w:t>
      </w:r>
      <w:r>
        <w:rPr>
          <w:rFonts w:ascii="Times New Roman" w:hAnsi="Times New Roman"/>
          <w:b w:val="false"/>
          <w:i w:val="false"/>
          <w:color w:val="000000"/>
          <w:sz w:val="22"/>
        </w:rPr>
        <w:t> </w:t>
      </w:r>
      <w:r>
        <w:rPr>
          <w:rFonts w:ascii="Times New Roman" w:hAnsi="Times New Roman"/>
          <w:b w:val="false"/>
          <w:i w:val="false"/>
          <w:color w:val="000000"/>
          <w:sz w:val="22"/>
        </w:rPr>
        <w:t>in the medically needy coverage group means establishing a new certification period when the previous period has expired and there has not been a break in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relative”</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a spouse, parent, or stepparent of the applicant or member who lives with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certification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medically needy program means one, two, or three calendar months prior to the date of application. When applicable pursuant to </w:t>
      </w:r>
      <w:hyperlink r:id="rId18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the retroactive certification period begins with the first day of the first month within the three-month period that Medicaid-covered services were received and continues to the end of the month immediately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three calendar months immediately preceding the month in which an application is filed and applies when applicable pursuant to </w:t>
      </w:r>
      <w:hyperlink r:id="rId184">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“Spenddown”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a medically needy person obligates excess income for allowable medical expenses to reduce income to the appropriate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“SSI-related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means those persons whose eligibility is determined using regulations governing the supplemental security income (SSI) program except for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color w:val="000000"/>
          <w:sz w:val="22"/>
        </w:rPr>
        <w:t xml:space="preserve">Coverage groups. </w:t>
      </w:r>
      <w:r>
        <w:rPr>
          <w:rFonts w:ascii="Times New Roman" w:hAnsi="Times New Roman"/>
          <w:b w:val="false"/>
          <w:i w:val="false"/>
          <w:color w:val="000000"/>
          <w:sz w:val="22"/>
        </w:rPr>
        <w:t>Medically needy will be available to the following persons who meet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Pregnant women. </w:t>
      </w:r>
      <w:r>
        <w:rPr>
          <w:rFonts w:ascii="Times New Roman" w:hAnsi="Times New Roman"/>
          <w:b w:val="false"/>
          <w:i w:val="false"/>
          <w:color w:val="000000"/>
          <w:sz w:val="22"/>
        </w:rPr>
        <w:t xml:space="preserve">Pregnant women who would be eligible for a family-related coverage group pursuant to rule </w:t>
      </w:r>
      <w:hyperlink r:id="rId18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except for excess income. For family-related programs, pregnant women will have the unborn child or children counted in the household size as if the child or children were born and living with them pursuant to subrule </w:t>
      </w:r>
      <w:hyperlink r:id="rId186">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FMAP-related persons under 19. </w:t>
      </w:r>
      <w:r>
        <w:rPr>
          <w:rFonts w:ascii="Times New Roman" w:hAnsi="Times New Roman"/>
          <w:b w:val="false"/>
          <w:i w:val="false"/>
          <w:color w:val="000000"/>
          <w:sz w:val="22"/>
        </w:rPr>
        <w:t xml:space="preserve">Persons under the age of 19 who would be eligible for a family-related coverage group pursuant to rule </w:t>
      </w:r>
      <w:hyperlink r:id="rId18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SSI-related persons. </w:t>
      </w:r>
      <w:r>
        <w:rPr>
          <w:rFonts w:ascii="Times New Roman" w:hAnsi="Times New Roman"/>
          <w:b w:val="false"/>
          <w:i w:val="false"/>
          <w:color w:val="000000"/>
          <w:sz w:val="22"/>
        </w:rPr>
        <w:t>Persons who would be eligible for SSI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FMAP-related parents and caretakers. </w:t>
      </w:r>
      <w:r>
        <w:rPr>
          <w:rFonts w:ascii="Times New Roman" w:hAnsi="Times New Roman"/>
          <w:b w:val="false"/>
          <w:i w:val="false"/>
          <w:color w:val="000000"/>
          <w:sz w:val="22"/>
        </w:rPr>
        <w:t>Parents and caretakers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rule </w:t>
      </w:r>
      <w:hyperlink r:id="rId18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 and whose income exceeds the limits for FMAP;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 dependent child who meets the requirements of rule </w:t>
      </w:r>
      <w:hyperlink r:id="rId189">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color w:val="000000"/>
          <w:sz w:val="22"/>
        </w:rPr>
        <w:t xml:space="preserve">Family-related eligible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eligible group consists of all eligible people specified below and living together, except when one or more of these people receive SSI under Title XVI of the Act. There will be at least one eligible parent or needy specified relative and at least one dependent child in the eligible group, except when the only eligible child is receiving SSI. The parent or needy specified relative may be the only FMAP-related eligible group member receiving Medicaid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only dependent child receives SSI,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dependent child is ineligible for Medicaid,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or needy specific relative voluntarily chooses to exclude the dependent child or children in order to receive coverage for the parent or needy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parent of such children if the parent is living in the same home as the dependent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and the incapacitated stepparent does not have a child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of incapacity shall be supported by medical or psychological evidence. The evidence may be obtained from either an independent licensed physician or psychologist or the state rehabilitation agency. The evidence may be submitted either by letter from the physician or on a form specified by the department. When an examination is required and other resources are not available to meet the expense of the examination, the physician will be authorized to make the examination and submit the claim for payment on a form specified by the department. A finding of eligibility for social security benefits or SSI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color w:val="000000"/>
          <w:sz w:val="22"/>
        </w:rPr>
        <w:t xml:space="preserve">Resources and income of all 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of all parents and other caretakers and of all potentially eligible individuals living together, except as specified at paragraph </w:t>
      </w:r>
      <w:hyperlink r:id="rId190">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1">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 of adults. Resources of all parents and other caretakers and of all potentially eligible individuals living together will be disregarded in determining eligibility of children. Income of all parents and other caretakers and of all potentially eligible individuals living together, except as specified in paragraph </w:t>
      </w:r>
      <w:hyperlink r:id="rId192">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3">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of the responsible relative that has been counted as available to a family-related household other than the medically needy applicant or member household or SSI individual will not be considered in determining the countable income for the medically needy applicant or member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determination will be according to subrules </w:t>
      </w:r>
      <w:hyperlink r:id="rId194">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 xml:space="preserve"> when one spouse is expected to reside at least 30 consecutive days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Certain persons may be voluntarily excluded from the family-related medically needy eligibility determination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Exclusions from the eligibility determination. In determining eligibility under the family-related medically needy coverage groups described in paragraphs </w:t>
      </w:r>
      <w:hyperlink r:id="rId196">
        <w:r>
          <w:rPr>
            <w:rStyle w:val="Hyperlink"/>
            <w:rFonts w:ascii="Times New Roman" w:hAnsi="Times New Roman"/>
            <w:b w:val="false"/>
            <w:i w:val="false"/>
            <w:color w:val="000000"/>
            <w:sz w:val="22"/>
          </w:rPr>
          <w:t>75.8(2)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following persons may be excluded from consideration when determining medically needy eligibility of other household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Siblings (of whole or half blood, or adoptive)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Self-supporting parents of minor unmarried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Stepparents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Children living with a parent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income, and resource exclusions. The needs, income, and resources of persons who are voluntarily excluded will also be excluded. If a self-supporting parent of a minor unmarried parent is voluntarily excluded, then the minor unmarried parent will not be counted in the household size when determining eligibility for the minor unmarried parent’s child. However, the income and resources of the minor unmarried parent will be used in determining eligibility for the unmarried minor parent’s child. If a stepparent is voluntarily excluded, the legally recognized natural or adoptive parent will not be counted in the household size when determining eligibility for the natural or adoptive parent’s children. However, the income and resources of the natural or adoptive parent will be used in determining eligibility for the natural or adoptive parent’s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Medicaid entitlement. Persons whose needs are voluntarily excluded from the eligibility determination will not be entitled to Medicaid under this or any 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parent’s needs are excluded. In situations where the parent’s needs are excluded but the parent’s income and resources are considered in the eligibility determination (e.g., minor unmarried parent living with self-supporting parents), the excluded parent will be allowed the earned income deduction, child care expenses, and work incentive disregard as provided at paragraph </w:t>
      </w:r>
      <w:hyperlink r:id="rId197">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child’s needs, income, and resources are excluded. In situations where the child’s needs, income, and resources are excluded from the eligibility determination pursuant to subparagraph </w:t>
      </w:r>
      <w:hyperlink r:id="rId198">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the child’s income is not sufficient to meet the child’s needs, the parent will be allowed to divert income to meet the unmet needs of the excluded child. The maximum amount to be diverted will be the difference between the schedule of basic needs of all potentially eligible individuals living together with the child included and the schedule of basic needs with the child excluded, in accordance with the FIP provisions in </w:t>
      </w:r>
      <w:hyperlink r:id="rId19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minus any countable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resource limit for adults in SSI-related households will be $10,000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resources for less than fair market value by SSI-related applicants or members is governed by rule </w:t>
      </w:r>
      <w:hyperlink r:id="rId20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limit for family-related adults will be $10,000 per household. In establishing eligibility for children for this coverage group, resources of all persons in the medically needy household, regardless of age, will be disregarded. In establishing eligibility for adults for this coverage group, resources will be considered according to rule </w:t>
      </w:r>
      <w:hyperlink r:id="rId201">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SSI-related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resource is jointly owned by SSI-related persons and family-related persons, the resource will be treated according to SSI policies for the SSI-related person and according to the policies described in paragraph </w:t>
      </w:r>
      <w:hyperlink r:id="rId202">
        <w:r>
          <w:rPr>
            <w:rStyle w:val="Hyperlink"/>
            <w:rFonts w:ascii="Times New Roman" w:hAnsi="Times New Roman"/>
            <w:b w:val="false"/>
            <w:i w:val="false"/>
            <w:color w:val="000000"/>
            <w:sz w:val="22"/>
          </w:rPr>
          <w:t>75.8(5)</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family-related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policies for family-related medically needy coverage groups. MAGI income and household size policies do not apply to the family-related medically needy coverage groups described in subrule </w:t>
      </w:r>
      <w:hyperlink r:id="rId203">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xml:space="preserve">. When determining eligibility for a family-related medically needy coverage group described in subrule </w:t>
      </w:r>
      <w:hyperlink r:id="rId204">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the department will determine countable income as described in the following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“Earned income” means income in the form of a salary, wages, tips, bonuses, commission earned as an employee, income from Job Corps, or profit from self-employment. Earned income from commissions, wages, tips, bonuses, Job Corps, or salary means the total gross amount irrespective of the expenses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Earned income deductions. Deductions from earned income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whose gross nonexempt earned income is considered in determining eligibility is entitled to one 20 percent earned income deduction from the monthly gross earnings. The deduction is intended to include work-related expenses other than child care such as taxes, transportation, meals, and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is entitled to a deduction for child or incapacitated adult care expenses for employment-related hours subject to the following limitations: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$175 per month for each child aged two or older or each incapacitated adult.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$200 per month for each child under the age of two.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for any portion of the cost of care that is paid for by a third party such as but not limited to the child care assistance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Stepparents and self-supporting parents on minor parent cases will be allowed incapacitated adult care or child care expenses for the ineligible dependents of the stepparent or self-supporting parent.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when both parents are in the home and one parent is not employed during the hours that care is needed if the parent at home during those hours is physically and mentally able to provide the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deduction is allowable only when the care covers the actual employment hours plus a reasonable period of time for commuting, or the period of time when the person who would normally care for the child or incapacitated adult is employed at such hours that the person is required to sleep during the waking hours of the child or incapacitated adult, excluding any hours a child is in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special needs of a physically or mentally handicapped child or adult will be taken into consideration in determining the deduction allowed.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claimed is questionable, the expense shall be verified by a receipt or a statement from the provider of care. The expense will be allowed when paid to any person except a parent or legal guardian of the child or another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self-employment, a person is considered to be self-employed if the requirements of FIP in </w:t>
      </w:r>
      <w:hyperlink r:id="rId205">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are met. Income will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Earned income means the net profit from self-employment, defined as gross income less the allowable costs of producing the income as allowed for FIP pursuant to </w:t>
      </w:r>
      <w:hyperlink r:id="rId206">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for a non-home based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net profit for a self-employed enterprise in the home other than providing room and board, renting apartments or providing child care services, the costs allowed for FIP pursuant to </w:t>
      </w:r>
      <w:hyperlink r:id="rId207">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will be allowed except deductions are limited to 10 percent of the total gross income to cover the costs of upkeep for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client is renting out apartments in the client’s home, the following will be deducted from the gross rentals received to determine the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expense in excess of that set forth on the chart of basic needs components for FIP in </w:t>
      </w:r>
      <w:hyperlink r:id="rId208">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portion of expense for utilities furnished to tenants that exceeds the amount set forth on the chart of basic needs components for FIP in </w:t>
      </w:r>
      <w:hyperlink r:id="rId20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percent of gross rentals to cover the cost of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furnishing board, room, operating a family life home, or providing nursing care, the following amounts will be deducted from the payments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$41 plus an amount equivalent to the monthly maximum Supplemental Nutrition Assistance Program benefit for a one-member household for a boarder and roomer or an individual in the home to receive nursing care, or $41 for a roomer, or an amount equivalent to the monthly maximum food assistance program benefit for a one-member household for a boarder.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payment to cover the cost of upkeep for individuals receiving a room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Gross income from providing child care in the applicant’s or member’s own home will include the total payments received for the service and any payment received due to the Child Nutrition Amendments of 1978 as amended to August 1, 2025,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providing child care services in the applicant’s or member’s own home, 40 percent of the total gross income received will be deducted to cover the costs of producing the income unless the applicant or member requests to have actual expenses in excess of the 40 percent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member requests to have expenses in excess of the 40 percent considered, profit will be determined in the same manner as specified at numbered paragraph </w:t>
      </w:r>
      <w:hyperlink r:id="rId210">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r>
        <w:rPr>
          <w:rFonts w:ascii="Times New Roman" w:hAnsi="Times New Roman"/>
          <w:b w:val="false"/>
          <w:i w:val="false"/>
          <w:color w:val="000000"/>
          <w:sz w:val="22"/>
        </w:rPr>
        <w:t>(3)“2.”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Unearned income. Unearned income is any income in cash that is not gained by labor or service. When taxes are withheld from unearned income, the amount considered will be the net income after the withholding of taxes (Federal Insurance Contributions Act as amended to August 1, 2025, state and federal income taxes). Net unearned income will be determined by deducting reasonable income-producing costs from the gross unearned income. Money left after this deduction will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client sells property on contract, proceeds from the sale will be considered exempt as income. The portion of any payment that represents principal is considered a resource upon receipt as defined for FIP in </w:t>
      </w:r>
      <w:hyperlink r:id="rId211">
        <w:r>
          <w:rPr>
            <w:rStyle w:val="Hyperlink"/>
            <w:rFonts w:ascii="Times New Roman" w:hAnsi="Times New Roman"/>
            <w:b w:val="false"/>
            <w:i w:val="false"/>
            <w:color w:val="000000"/>
            <w:sz w:val="22"/>
          </w:rPr>
          <w:t>441—subrule 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will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nonexempt cash support payment for a member of the eligible group made while the application is pending will be treated as unearned income.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will be considered as unearned income in the month in which the IV-A agency (the department’s income maintenance area) is notified of the payment by the IV-D agency (child support services). The amount of income to consider will be the actual amount paid or the monthly entitlement, whichever is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reported by child support services during a past month for which eligibility is being determined will be used to determine eligibility for the month. Support payments anticipated to be received in future months will be used to determine eligibility for future months. When support payments terminate in the month of decision of a family-related application, both support payments already received and support payments anticipated to be received in the month of decision will be used to determine eligibility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will be diverted to meet the unmet needs of ineligible children and to permit payment of court-ordered support to children not living with the parent as allowed for FIP pursuant to </w:t>
      </w:r>
      <w:hyperlink r:id="rId212">
        <w:r>
          <w:rPr>
            <w:rStyle w:val="Hyperlink"/>
            <w:rFonts w:ascii="Times New Roman" w:hAnsi="Times New Roman"/>
            <w:b w:val="false"/>
            <w:i w:val="false"/>
            <w:color w:val="000000"/>
            <w:sz w:val="22"/>
          </w:rPr>
          <w:t>441—subrule 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FIP policies also apply to determining income eligibility for family-related medically needy: 441—subrules </w:t>
      </w:r>
      <w:hyperlink r:id="rId213">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41.27(7)</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xml:space="preserve"> and 441—paragraphs </w:t>
      </w:r>
      <w:hyperlink r:id="rId218">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policies as specified in federal SSI regulations regarding treatment of earned and unearned income are applied to SSI-related persons when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monthly income will be determined prospectively unless actual income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for the certification period will be determined by adding both months’ net income together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for the retroactive certification period when applicable pursuant to </w:t>
      </w:r>
      <w:hyperlink r:id="rId219">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 </w:t>
      </w:r>
    </w:p>
    <w:p>
      <w:pPr>
        <w:spacing w:before="0" w:after="0"/>
        <w:ind w:left="120"/>
        <w:jc w:val="both"/>
      </w:pPr>
      <w:r>
        <w:rPr>
          <w:rFonts w:ascii="Times New Roman" w:hAnsi="Times New Roman"/>
          <w:b/>
          <w:i w:val="false"/>
          <w:color w:val="000000"/>
          <w:sz w:val="22"/>
        </w:rPr>
        <w:t>75.8(7)</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is based on 133 1/3 percent of the schedule of basic needs, as provided for FIP in </w:t>
      </w:r>
      <w:hyperlink r:id="rId220">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with households of one treated as households of two,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73"/>
        <w:gridCol w:w="651"/>
        <w:gridCol w:w="651"/>
        <w:gridCol w:w="651"/>
        <w:gridCol w:w="651"/>
        <w:gridCol w:w="651"/>
        <w:gridCol w:w="651"/>
        <w:gridCol w:w="651"/>
        <w:gridCol w:w="651"/>
        <w:gridCol w:w="741"/>
        <w:gridCol w:w="830"/>
      </w:tblGrid>
      <w:tr>
        <w:trPr>
          <w:trHeight w:val="195" w:hRule="atLeast"/>
        </w:trPr>
        <w:tc>
          <w:tcPr>
            <w:tcW w:w="217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Number of Persons</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65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74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83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r>
        <w:trPr>
          <w:trHeight w:val="195" w:hRule="atLeast"/>
        </w:trPr>
        <w:tc>
          <w:tcPr>
            <w:tcW w:w="21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MNIL</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$483</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$483</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$566</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$666</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$733</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$816</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$891</w:t>
            </w:r>
          </w:p>
        </w:tc>
        <w:tc>
          <w:tcPr>
            <w:tcW w:w="65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$975</w:t>
            </w:r>
          </w:p>
        </w:tc>
        <w:tc>
          <w:tcPr>
            <w:tcW w:w="74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$1058</w:t>
            </w:r>
          </w:p>
        </w:tc>
        <w:tc>
          <w:tcPr>
            <w:tcW w:w="83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$1158</w:t>
            </w:r>
          </w:p>
        </w:tc>
      </w:tr>
    </w:tbl>
    <w:p>
      <w:pPr>
        <w:spacing w:before="0" w:after="0"/>
        <w:ind w:left="120"/>
        <w:jc w:val="both"/>
      </w:pPr>
      <w:r>
        <w:rPr>
          <w:rFonts w:ascii="Times New Roman" w:hAnsi="Times New Roman"/>
          <w:b w:val="false"/>
          <w:i w:val="false"/>
          <w:color w:val="000000"/>
          <w:sz w:val="22"/>
        </w:rPr>
        <w:t>Each additional person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household size for the MNIL, all potentially eligibles and all individuals whose income is considered as specified in subrule </w:t>
      </w:r>
      <w:hyperlink r:id="rId221">
        <w:r>
          <w:rPr>
            <w:rStyle w:val="Hyperlink"/>
            <w:rFonts w:ascii="Times New Roman" w:hAnsi="Times New Roman"/>
            <w:b w:val="false"/>
            <w:i w:val="false"/>
            <w:color w:val="000000"/>
            <w:sz w:val="22"/>
          </w:rPr>
          <w:t>75.8(4)</w:t>
        </w:r>
      </w:hyperlink>
      <w:r>
        <w:rPr>
          <w:rFonts w:ascii="Times New Roman" w:hAnsi="Times New Roman"/>
          <w:b w:val="false"/>
          <w:i w:val="false"/>
          <w:color w:val="000000"/>
          <w:sz w:val="22"/>
        </w:rPr>
        <w:t xml:space="preserve"> shall be included unless the person has been excluded according to the provisions of paragraph </w:t>
      </w:r>
      <w:hyperlink r:id="rId222">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for the certification period will be determined by adding both months’ MNIL to arrive at a total. The MNIL for the retroactive certification period when applicable pursuant to </w:t>
      </w:r>
      <w:hyperlink r:id="rId22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net countable income for the certification period will be compared to the total MNIL for the certification period based on family size as specified in paragraph </w:t>
      </w:r>
      <w:hyperlink r:id="rId224">
        <w:r>
          <w:rPr>
            <w:rStyle w:val="Hyperlink"/>
            <w:rFonts w:ascii="Times New Roman" w:hAnsi="Times New Roman"/>
            <w:b w:val="false"/>
            <w:i w:val="false"/>
            <w:color w:val="000000"/>
            <w:sz w:val="22"/>
          </w:rPr>
          <w:t>75.8(7)</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total countable net income is equal to or less than the total MNIL, the medically needy individuals will be eligible for Medicaid. If the total countable net income exceeds the total MNIL, the medically needy individuals will not be eligible for Medicaid unless incurred medical expenses equal or exceed the difference between the net income and the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approval. Eligibility during the certification period, or the retroactive certification period when applicable pursuant to </w:t>
      </w:r>
      <w:hyperlink r:id="rId225">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will be effective as of the first day of the first month of the certification period or the retroactive certification period when the MNIL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75.8(8)</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medical expenses to be used in spenddown calculation. </w:t>
      </w:r>
      <w:r>
        <w:rPr>
          <w:rFonts w:ascii="Times New Roman" w:hAnsi="Times New Roman"/>
          <w:b w:val="false"/>
          <w:i w:val="false"/>
          <w:color w:val="000000"/>
          <w:sz w:val="22"/>
        </w:rPr>
        <w:t>The applicant or member shall submit evidence of medical expenses that are for noncovered Medicaid services and for covered services incurred prior to the certification period to the department on a claim form, which shall be completed by the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medical expenses for the applicant or member that are covered Medicaid services and occurred during the certification period shall be submitted by the provider to Iowa Medicaid on a claim form. The applicant or member shall inform the provider of the applicant’s or member’s spenddown obligation at the time services are rendered or at the time the applicant or member receives notification of a spenddown obligation. In cases where the provider is uncooperative or where returning to the provider would constitute an unreasonable requirement on the applicant or member, the worker will obtain the claim form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allowable expenses incurred for transportation to receive medical care as specified in rule </w:t>
      </w:r>
      <w:hyperlink r:id="rId22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will be on forms specified by the department. Applicants who have not established that they met spenddown in the current certification period will be allowed 12 months following the end of the certification period to submit medical expenses for that period or 12 months following the date of the notice of decision when the certification period had ended prior to the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75.8(9)</w:t>
      </w:r>
      <w:r>
        <w:rPr>
          <w:rFonts w:ascii="Times New Roman" w:hAnsi="Times New Roman"/>
          <w:b w:val="false"/>
          <w:i w:val="false"/>
          <w:color w:val="000000"/>
          <w:sz w:val="22"/>
        </w:rPr>
        <w:t> </w:t>
      </w:r>
      <w:r>
        <w:rPr>
          <w:rFonts w:ascii="Times New Roman" w:hAnsi="Times New Roman"/>
          <w:b w:val="false"/>
          <w:i/>
          <w:color w:val="000000"/>
          <w:sz w:val="22"/>
        </w:rPr>
        <w:t xml:space="preserve">Spenddown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expenses that are incurred during the certification period may be used to meet spenddown. Medical expenses incurred prior to a certification period will be used to meet spenddown if not already used to meet spenddown in a previous certification period and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expenses remain unpaid as of the first day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Medicaid-payable in a previous certification period or the retroactive certification period when applicable pursuant to </w:t>
      </w:r>
      <w:hyperlink r:id="rId22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incurred during any prior certification period with the exception of the retroactive period, when applicable pursuant to </w:t>
      </w:r>
      <w:hyperlink r:id="rId228">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in which the person was conditionally eligible but did not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subparagraphs </w:t>
      </w:r>
      <w:hyperlink r:id="rId229">
        <w:r>
          <w:rPr>
            <w:rStyle w:val="Hyperlink"/>
            <w:rFonts w:ascii="Times New Roman" w:hAnsi="Times New Roman"/>
            <w:b w:val="false"/>
            <w:i w:val="false"/>
            <w:color w:val="000000"/>
            <w:sz w:val="22"/>
          </w:rPr>
          <w:t>75.8(9)</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(3), paid medical expenses from the retroactive period can be used to meet spenddown in the retroactive period or in the certification period for the two months immediately following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Spenddown will be adjusted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bill for a Medicaid-covered service incurred during the certification period has been applied to meet spenddown if a bill for a covered service incurred prior to the certification period is subsequently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bill for a noncovered Medicaid service is subsequently received with a service date prior to the Medicaid-covered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 unpaid bill for a Medicaid-covered service incurred during the certification period has been applied to meet spenddown if a paid bill for a covered service incurred in the certification period is subsequently received with a service date prior to the date of the notice of spenddown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of deduction. Incurred medical expenses, including those reimbursed by a state or political subdivision program other than Medicaid but excluding those otherwise subject to payment by a third party, will be deducted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Medicare and other health insurance premiums, deductibles, or coinsurance charges.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When some of the household members are eligible for full Medicaid benefits under the Health Insurance Premium Payment Program (HIPP), as provided in rule </w:t>
      </w:r>
      <w:hyperlink r:id="rId23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the health insurance premium will not be allowed as a deduction to meet the spenddown obligation of household members in the medically needy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average statewide monthly standard deduction for the cost of medically necessary personal care services provided in a licensed residential care facility will be allowed as a deduction for spenddown. These personal care services include assistance with activities of daily living such as preparation of a special diet, personal hygiene and bathing, dressing, ambulation, toilet use, transferring, eating, and managing medication. The average statewide monthly standard deduction for personal care services will be based on the average per day rate of health care costs associated with residential care facilities participating in the state supplementary assistance program for a 30.4-day month as computed by multiplying the previous year’s average per day rate by the inflation factor increase during the preceding calendar year ending December 31 of the consumer price index for all urban Consumers as published by the United States Bureau of Labor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recognized under state law but not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expenses for acupuncture,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spenddown has been met and a bill is received with a service date after spenddown has been met, the bill will not be deducted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incurred medical expenses have reduced income to the applicable MNIL, the individuals will be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expenses reimbursed by a public program other than Medicaid prior to the certification period will not be considered a medical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75.8(10)</w:t>
      </w:r>
      <w:r>
        <w:rPr>
          <w:rFonts w:ascii="Times New Roman" w:hAnsi="Times New Roman"/>
          <w:b w:val="false"/>
          <w:i w:val="false"/>
          <w:color w:val="000000"/>
          <w:sz w:val="22"/>
        </w:rPr>
        <w:t> </w:t>
      </w:r>
      <w:r>
        <w:rPr>
          <w:rFonts w:ascii="Times New Roman" w:hAnsi="Times New Roman"/>
          <w:b w:val="false"/>
          <w:i/>
          <w:color w:val="000000"/>
          <w:sz w:val="22"/>
        </w:rPr>
        <w:t xml:space="preserve">Medicaid services. </w:t>
      </w:r>
      <w:r>
        <w:rPr>
          <w:rFonts w:ascii="Times New Roman" w:hAnsi="Times New Roman"/>
          <w:b w:val="false"/>
          <w:i w:val="false"/>
          <w:color w:val="000000"/>
          <w:sz w:val="22"/>
        </w:rPr>
        <w:t>Persons eligible for Medicaid as medically needy will be eligible for all services covered by Medicaid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in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Care in an institution for mental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Care in a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Reviews of eligibility will be made for SSI-related and family-related medically needy members with a zero spenddown as often as circumstances indicate but in no instance will the period of time between reviews exceed 12 months. Family-related medically needy persons and SSI-related needy persons shall complete forms specified by the department as part of the review process when requested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When an SSI-related or family-related member who has had ongoing eligibility because of a zero spenddown has income that exceeds the MNIL, a redetermination of eligibility will be completed to change the member’s eligibility to a two-month certification with spenddown. This redetermination will be effective the month the income exceeds the MNIL or the first month following timely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for SSI-related medically needy when an SSI recipient has been determined to be ineligible for SSI due to excess income or resources in one or more of the months after the effective date of the SSI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will be reviewed on redeterminations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Recertifications. </w:t>
      </w:r>
      <w:r>
        <w:rPr>
          <w:rFonts w:ascii="Times New Roman" w:hAnsi="Times New Roman"/>
          <w:b w:val="false"/>
          <w:i w:val="false"/>
          <w:color w:val="000000"/>
          <w:sz w:val="22"/>
        </w:rPr>
        <w:t xml:space="preserve">A new application must be submitted when the certification period has expired and there has been a break in assistance as defined at subrule </w:t>
      </w:r>
      <w:hyperlink r:id="rId231">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When the certification period has expired and there has not been a break in assistance, the family-related members and SSI-related members shall use forms specified by the department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Disability determinations. </w:t>
      </w:r>
      <w:r>
        <w:rPr>
          <w:rFonts w:ascii="Times New Roman" w:hAnsi="Times New Roman"/>
          <w:b w:val="false"/>
          <w:i w:val="false"/>
          <w:color w:val="000000"/>
          <w:sz w:val="22"/>
        </w:rPr>
        <w:t>An applicant receiving social security disability benefits under Title II of the Act or railroad retirement benefits based on the Act’s definition of disability by the Railroad Retirement Board will be deemed disabled without any further determination. In other cases under the medically needy program, the department will conduct an independent determination of disability unless the applicant has been denied SSI benefits based on lack of disability and the applicant does not allege either (1) a disabling condition different from or in addition to that considered by the SSA or (2) that the applicant’s condition has changed or deteriorated since the most recent SSA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conducting an independent determination of disability, the department will use the same criteria required by federal law to be used by the SSA in determining disability for purposes of SSI under Title XVI of the Act. The disability determination services division of Iowa workforce development will make the initial disability determination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 independent determination of disability, the applicant or the applicant’s authorized representative shall complete, sign, and submit forms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any independent determination of disability, the department will determine whether reexamination of the person’s medical condition will be necessary for periodic redeterminations of eligibility. When reexamination is required, the member or the member’s authorized representative shall complete and submit the same forms specified by the department as required in paragraph </w:t>
      </w:r>
      <w:hyperlink r:id="rId232">
        <w:r>
          <w:rPr>
            <w:rStyle w:val="Hyperlink"/>
            <w:rFonts w:ascii="Times New Roman" w:hAnsi="Times New Roman"/>
            <w:b w:val="false"/>
            <w:i w:val="false"/>
            <w:color w:val="000000"/>
            <w:sz w:val="22"/>
          </w:rPr>
          <w:t>75.8(14)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441—75.9</w:t>
      </w:r>
      <w:r>
        <w:rPr>
          <w:rFonts w:ascii="Times New Roman" w:hAnsi="Times New Roman"/>
          <w:b/>
          <w:i w:val="false"/>
          <w:color w:val="000000"/>
          <w:sz w:val="22"/>
        </w:rPr>
        <w:t xml:space="preserve">(249A)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As a condition of eligibility, except as provided by subrule </w:t>
      </w:r>
      <w:hyperlink r:id="rId233">
        <w:r>
          <w:rPr>
            <w:rStyle w:val="Hyperlink"/>
            <w:rFonts w:ascii="Times New Roman" w:hAnsi="Times New Roman"/>
            <w:b w:val="false"/>
            <w:i w:val="false"/>
            <w:color w:val="000000"/>
            <w:sz w:val="22"/>
          </w:rPr>
          <w:t>75.9(2)</w:t>
        </w:r>
      </w:hyperlink>
      <w:r>
        <w:rPr>
          <w:rFonts w:ascii="Times New Roman" w:hAnsi="Times New Roman"/>
          <w:b w:val="false"/>
          <w:i w:val="false"/>
          <w:color w:val="000000"/>
          <w:sz w:val="22"/>
        </w:rPr>
        <w:t>, a Medicaid client must provide to the department all social security numbers issued to each individual (including children) for whom Medicaid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w:t>
      </w:r>
      <w:r>
        <w:rPr>
          <w:rFonts w:ascii="Times New Roman" w:hAnsi="Times New Roman"/>
          <w:b w:val="false"/>
          <w:i w:val="false"/>
          <w:color w:val="000000"/>
          <w:sz w:val="22"/>
        </w:rPr>
        <w:t xml:space="preserve">The requirement of subrule </w:t>
      </w:r>
      <w:hyperlink r:id="rId234">
        <w:r>
          <w:rPr>
            <w:rStyle w:val="Hyperlink"/>
            <w:rFonts w:ascii="Times New Roman" w:hAnsi="Times New Roman"/>
            <w:b w:val="false"/>
            <w:i w:val="false"/>
            <w:color w:val="000000"/>
            <w:sz w:val="22"/>
          </w:rPr>
          <w:t>75.9(1)</w:t>
        </w:r>
      </w:hyperlink>
      <w:r>
        <w:rPr>
          <w:rFonts w:ascii="Times New Roman" w:hAnsi="Times New Roman"/>
          <w:b w:val="false"/>
          <w:i w:val="false"/>
          <w:color w:val="000000"/>
          <w:sz w:val="22"/>
        </w:rPr>
        <w:t xml:space="preserve">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§422.104</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the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Adheres to the tenets or teachings of the sect or division of the sect and for that reason is conscientiously opposed to applying for or using a national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75.9(3)</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social security number. </w:t>
      </w:r>
      <w:r>
        <w:rPr>
          <w:rFonts w:ascii="Times New Roman" w:hAnsi="Times New Roman"/>
          <w:b w:val="false"/>
          <w:i w:val="false"/>
          <w:color w:val="000000"/>
          <w:sz w:val="22"/>
        </w:rPr>
        <w:t>If a social security number has not been issued or is not known, the individual seeking Medicaid must cooperate with the department in applying for a social security number with the SSA or in requesting the SSA to furnish the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441—75.10</w:t>
      </w:r>
      <w:r>
        <w:rPr>
          <w:rFonts w:ascii="Times New Roman" w:hAnsi="Times New Roman"/>
          <w:b/>
          <w:i w:val="false"/>
          <w:color w:val="000000"/>
          <w:sz w:val="22"/>
        </w:rPr>
        <w:t xml:space="preserve">(249A) </w:t>
      </w:r>
      <w:r>
        <w:rPr>
          <w:rFonts w:ascii="Times New Roman" w:hAnsi="Times New Roman"/>
          <w:b/>
          <w:i w:val="false"/>
          <w:color w:val="000000"/>
          <w:sz w:val="22"/>
        </w:rPr>
        <w:t xml:space="preserve">Residency requirements. </w:t>
      </w:r>
      <w:r>
        <w:rPr>
          <w:rFonts w:ascii="Times New Roman" w:hAnsi="Times New Roman"/>
          <w:b w:val="false"/>
          <w:i w:val="false"/>
          <w:color w:val="000000"/>
          <w:sz w:val="22"/>
        </w:rPr>
        <w:t>Residency in Iowa is a condition of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“Institution” means an “institution” or a “medical institution” as those terms are defined in </w:t>
      </w:r>
      <w:r>
        <w:rPr>
          <w:rFonts w:ascii="Times New Roman" w:hAnsi="Times New Roman"/>
          <w:b w:val="false"/>
          <w:i w:val="false"/>
          <w:color w:val="000000"/>
          <w:sz w:val="22"/>
        </w:rPr>
        <w:t>42 CFR §435.1010</w:t>
      </w:r>
      <w:r>
        <w:rPr>
          <w:rFonts w:ascii="Times New Roman" w:hAnsi="Times New Roman"/>
          <w:b w:val="false"/>
          <w:i w:val="false"/>
          <w:color w:val="000000"/>
          <w:sz w:val="22"/>
        </w:rPr>
        <w:t xml:space="preserve">. For purposes of state placement, “institution” also includes foster care homes licensed as set forth in </w:t>
      </w:r>
      <w:r>
        <w:rPr>
          <w:rFonts w:ascii="Times New Roman" w:hAnsi="Times New Roman"/>
          <w:b w:val="false"/>
          <w:i w:val="false"/>
          <w:color w:val="000000"/>
          <w:sz w:val="22"/>
        </w:rPr>
        <w:t>45 CFR §1355.20</w:t>
      </w:r>
      <w:r>
        <w:rPr>
          <w:rFonts w:ascii="Times New Roman" w:hAnsi="Times New Roman"/>
          <w:b w:val="false"/>
          <w:i w:val="false"/>
          <w:color w:val="000000"/>
          <w:sz w:val="22"/>
        </w:rPr>
        <w:t xml:space="preserve"> and providing food, shelter and supportive services to one or more persons unrelated to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Incapable of expressing intent regarding residency. </w:t>
      </w:r>
      <w:r>
        <w:rPr>
          <w:rFonts w:ascii="Times New Roman" w:hAnsi="Times New Roman"/>
          <w:b w:val="false"/>
          <w:i w:val="false"/>
          <w:color w:val="000000"/>
          <w:sz w:val="22"/>
        </w:rPr>
        <w:t>For purposes of this rule, an individual is considered to be “incapable of indicating intent regarding residency”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 IQ of 49 or less or has a mental age of seven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judged legally incompetent;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determined to be incapable of indicating intent regarding residency by a physician, psychologist or other person licensed by the state in the field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An Iowa resident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person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w:t>
      </w:r>
      <w:r>
        <w:rPr>
          <w:rFonts w:ascii="Times New Roman" w:hAnsi="Times New Roman"/>
          <w:b w:val="false"/>
          <w:i w:val="false"/>
          <w:color w:val="000000"/>
          <w:sz w:val="22"/>
        </w:rPr>
        <w:t>State residency is determined according to the following criteria. If more than one criterion applies, the applicable criterion listed first determines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Title IV-E payments. </w:t>
      </w:r>
      <w:r>
        <w:rPr>
          <w:rFonts w:ascii="Times New Roman" w:hAnsi="Times New Roman"/>
          <w:b w:val="false"/>
          <w:i w:val="false"/>
          <w:color w:val="000000"/>
          <w:sz w:val="22"/>
        </w:rPr>
        <w:t>Individuals who are receiving federal foster care maintenance payments or have a guardianship assistance agreement or have an adoption assistance agreement under Title IV-E of the Act are considered to be residents of the state where the child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Cases of disputed residency. </w:t>
      </w:r>
      <w:r>
        <w:rPr>
          <w:rFonts w:ascii="Times New Roman" w:hAnsi="Times New Roman"/>
          <w:b w:val="false"/>
          <w:i w:val="false"/>
          <w:color w:val="000000"/>
          <w:sz w:val="22"/>
        </w:rPr>
        <w:t>If two or more states do not agree on an individual’s state of residence, the state where the individual is physically located is the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from state of residence. </w:t>
      </w:r>
      <w:r>
        <w:rPr>
          <w:rFonts w:ascii="Times New Roman" w:hAnsi="Times New Roman"/>
          <w:b w:val="false"/>
          <w:i w:val="false"/>
          <w:color w:val="000000"/>
          <w:sz w:val="22"/>
        </w:rPr>
        <w:t>An individual who was a resident of a state pursuant to the other criteria of this rule, who is temporarily absent from that state, and who intends to return to that state when the purpose of the absence has been accomplished remains a resident of that state during the absence unless another state has determined that the person is a resident there for Medicaid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Individuals placed by a state in an out-of-state institution. </w:t>
      </w:r>
      <w:r>
        <w:rPr>
          <w:rFonts w:ascii="Times New Roman" w:hAnsi="Times New Roman"/>
          <w:b w:val="false"/>
          <w:i w:val="false"/>
          <w:color w:val="000000"/>
          <w:sz w:val="22"/>
        </w:rPr>
        <w:t>If any agency of a state, including an entity recognized under state law as being under contract with the state for such purposes, arranges for an individual to be placed in an institution located in another state, the state arranging or actually making the placement is considered the individual’s state of residence during that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beyond providing information to the individual and the individual’s family constitutes arranging or making a placement. However, the following actions do not constitute arranging or making a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basic information to individuals about another state’s Medicaid program and information about the availability of health care services and providing facilities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an individual in locating an institution in another state, provided the individual is not incapable of indicating intent regarding residency and independently decides to move.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competent individual leaves an out-of-state institution in which the individual was placed by a state, that individual’s state of residence is the state where the individual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a state supplementary assistance payment. </w:t>
      </w:r>
      <w:r>
        <w:rPr>
          <w:rFonts w:ascii="Times New Roman" w:hAnsi="Times New Roman"/>
          <w:b w:val="false"/>
          <w:i w:val="false"/>
          <w:color w:val="000000"/>
          <w:sz w:val="22"/>
        </w:rPr>
        <w:t xml:space="preserve">Individuals who are receiving a state supplementary assistance payment pursuant to </w:t>
      </w:r>
      <w:r>
        <w:rPr>
          <w:rFonts w:ascii="Times New Roman" w:hAnsi="Times New Roman"/>
          <w:b w:val="false"/>
          <w:i w:val="false"/>
          <w:color w:val="000000"/>
          <w:sz w:val="22"/>
        </w:rPr>
        <w:t>42 U.S.C. §1382e</w:t>
      </w:r>
      <w:r>
        <w:rPr>
          <w:rFonts w:ascii="Times New Roman" w:hAnsi="Times New Roman"/>
          <w:b w:val="false"/>
          <w:i w:val="false"/>
          <w:color w:val="000000"/>
          <w:sz w:val="22"/>
        </w:rPr>
        <w:t xml:space="preserve"> (including payments from Iowa pursuant to 441—Chapters </w:t>
      </w:r>
      <w:hyperlink r:id="rId235">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23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Chapter </w:t>
      </w:r>
      <w:hyperlink r:id="rId237">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are considered to be residents of the state paying the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are capable of indicating intent regarding residency. </w:t>
      </w:r>
      <w:r>
        <w:rPr>
          <w:rFonts w:ascii="Times New Roman" w:hAnsi="Times New Roman"/>
          <w:b w:val="false"/>
          <w:i w:val="false"/>
          <w:color w:val="000000"/>
          <w:sz w:val="22"/>
        </w:rPr>
        <w:t>For an individual aged 21 or over who is residing in an institution and who is capable of indicating intent regarding residency, the state of residence is the state where the individual is living and intends to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before the age of 21. </w:t>
      </w:r>
      <w:r>
        <w:rPr>
          <w:rFonts w:ascii="Times New Roman" w:hAnsi="Times New Roman"/>
          <w:b w:val="false"/>
          <w:i w:val="false"/>
          <w:color w:val="000000"/>
          <w:sz w:val="22"/>
        </w:rPr>
        <w:t>For an individual aged 21 or over who is residing in an institution and who became incapable of indicating intent regarding residency before the age of 21,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of the parent applying for Medicaid on the individual’s behalf if the parents reside in separate states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at or after the age of 21. </w:t>
      </w:r>
      <w:r>
        <w:rPr>
          <w:rFonts w:ascii="Times New Roman" w:hAnsi="Times New Roman"/>
          <w:b w:val="false"/>
          <w:i w:val="false"/>
          <w:color w:val="000000"/>
          <w:sz w:val="22"/>
        </w:rPr>
        <w:t>For an individual aged 21 or over who is residing in an institution and who became incapable of indicating intent regarding residency at or after the age of 21, the state of residence is the state in which the individual is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incapable of indicating intent regarding residency. </w:t>
      </w:r>
      <w:r>
        <w:rPr>
          <w:rFonts w:ascii="Times New Roman" w:hAnsi="Times New Roman"/>
          <w:b w:val="false"/>
          <w:i w:val="false"/>
          <w:color w:val="000000"/>
          <w:sz w:val="22"/>
        </w:rPr>
        <w:t>For an individual aged 21 or over who is not residing in an institution and who is incapable of indicating intent regarding residency, the state of residence is the state where the individual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capable of indicating intent regarding residency. </w:t>
      </w:r>
      <w:r>
        <w:rPr>
          <w:rFonts w:ascii="Times New Roman" w:hAnsi="Times New Roman"/>
          <w:b w:val="false"/>
          <w:i w:val="false"/>
          <w:color w:val="000000"/>
          <w:sz w:val="22"/>
        </w:rPr>
        <w:t>For an individual aged 21 or over who is not residing in an institution and who is capable of indicating intent regarding residency, the state of residence is the state where the individual is living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Intends to reside,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Entered with a job commitment or to seek employment,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residing in an institution and who are not married or emancipated. </w:t>
      </w:r>
      <w:r>
        <w:rPr>
          <w:rFonts w:ascii="Times New Roman" w:hAnsi="Times New Roman"/>
          <w:b w:val="false"/>
          <w:i w:val="false"/>
          <w:color w:val="000000"/>
          <w:sz w:val="22"/>
        </w:rPr>
        <w:t>For an individual under the age of 21 who is residing in an institution and who is neither married nor emancipated,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capable of indicating intent regarding residency and who are married or emancipated. </w:t>
      </w:r>
      <w:r>
        <w:rPr>
          <w:rFonts w:ascii="Times New Roman" w:hAnsi="Times New Roman"/>
          <w:b w:val="false"/>
          <w:i w:val="false"/>
          <w:color w:val="000000"/>
          <w:sz w:val="22"/>
        </w:rPr>
        <w:t xml:space="preserve">For an individual under the age of 21 who is capable of indicating intent regarding residency and who is married or emancipated from the individual’s parent, the state of residence is determined in accordance with paragraph </w:t>
      </w:r>
      <w:hyperlink r:id="rId238">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Other individuals under the age of 21. </w:t>
      </w:r>
      <w:r>
        <w:rPr>
          <w:rFonts w:ascii="Times New Roman" w:hAnsi="Times New Roman"/>
          <w:b w:val="false"/>
          <w:i w:val="false"/>
          <w:color w:val="000000"/>
          <w:sz w:val="22"/>
        </w:rPr>
        <w:t xml:space="preserve">For an individual under the age of 21 who is not described in paragraph </w:t>
      </w:r>
      <w:hyperlink r:id="rId239">
        <w:r>
          <w:rPr>
            <w:rStyle w:val="Hyperlink"/>
            <w:rFonts w:ascii="Times New Roman" w:hAnsi="Times New Roman"/>
            <w:b w:val="false"/>
            <w:i w:val="false"/>
            <w:color w:val="000000"/>
            <w:sz w:val="22"/>
          </w:rPr>
          <w:t>75.10(2)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or </w:t>
      </w:r>
      <w:r>
        <w:rPr>
          <w:rFonts w:ascii="Times New Roman" w:hAnsi="Times New Roman"/>
          <w:b w:val="false"/>
          <w:i/>
          <w:color w:val="000000"/>
          <w:sz w:val="22"/>
        </w:rPr>
        <w:t>“l,”</w:t>
      </w:r>
      <w:r>
        <w:rPr>
          <w:rFonts w:ascii="Times New Roman" w:hAnsi="Times New Roman"/>
          <w:b w:val="false"/>
          <w:i w:val="false"/>
          <w:color w:val="000000"/>
          <w:sz w:val="22"/>
        </w:rPr>
        <w:t xml:space="preserve">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where the individual resides,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residency of the parent or caretaker, determined in accordance with paragraph </w:t>
      </w:r>
      <w:hyperlink r:id="rId240">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with whom the individual resides.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441—75.11</w:t>
      </w:r>
      <w:r>
        <w:rPr>
          <w:rFonts w:ascii="Times New Roman" w:hAnsi="Times New Roman"/>
          <w:b/>
          <w:i w:val="false"/>
          <w:color w:val="000000"/>
          <w:sz w:val="22"/>
        </w:rPr>
        <w:t xml:space="preserve">(249A) </w:t>
      </w:r>
      <w:r>
        <w:rPr>
          <w:rFonts w:ascii="Times New Roman" w:hAnsi="Times New Roman"/>
          <w:b/>
          <w:i w:val="false"/>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and services necessary for the treatment of an emergency medical condition”</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in a hospital, clinic, office or other facility that is equipped to furnish the required care for an emergency medical condition, provided the care and services are not related to an organ transplant procedure furnished on or after August 10, 1993. Payment for emergency medical services will be limited to medical services that are required and directly related to the treatment of the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“citizenship”</w:t>
      </w:r>
      <w:r>
        <w:rPr>
          <w:rFonts w:ascii="Times New Roman" w:hAnsi="Times New Roman"/>
          <w:b w:val="false"/>
          <w:i w:val="false"/>
          <w:color w:val="000000"/>
          <w:sz w:val="22"/>
        </w:rPr>
        <w:t xml:space="preserve"> includes both citizens of the United States and nationals of the United States as defined in </w:t>
      </w:r>
      <w:r>
        <w:rPr>
          <w:rFonts w:ascii="Times New Roman" w:hAnsi="Times New Roman"/>
          <w:b w:val="false"/>
          <w:i w:val="false"/>
          <w:color w:val="000000"/>
          <w:sz w:val="22"/>
        </w:rPr>
        <w:t>8 U.S.C. §1101(a)(22)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means-tested program”</w:t>
      </w:r>
      <w:r>
        <w:rPr>
          <w:rFonts w:ascii="Times New Roman" w:hAnsi="Times New Roman"/>
          <w:b w:val="false"/>
          <w:i w:val="false"/>
          <w:color w:val="000000"/>
          <w:sz w:val="22"/>
        </w:rPr>
        <w:t> </w:t>
      </w:r>
      <w:r>
        <w:rPr>
          <w:rFonts w:ascii="Times New Roman" w:hAnsi="Times New Roman"/>
          <w:b w:val="false"/>
          <w:i w:val="false"/>
          <w:color w:val="000000"/>
          <w:sz w:val="22"/>
        </w:rPr>
        <w:t>means all federal programs that are means-tested, with the exception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assistance for care and services necessary for the treatment of an emergency medical condition not related to an organ transplant procedure furnished on or after August 10,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non-cash, in-kind emergency disaster relief.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Assistance or benefits under the National School Lunch Act as amended to August 1, 2025.</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Assistance or benefits under the Child Nutrition Act of 1966 as amended to August 1, 2025.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health assistance (not including any assistance under Title XIX of the Act) for immunizations with respect to immunizable diseases and for testing and treatment of symptoms of communicable diseases whether or not the symptoms are caused by a communicable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Payments of foster care and adoption assistance under Parts B and E of Title IV of the Act for a parent or a child who would, in the absence of numbered paragraph “1,” be eligible to have payments made on the child’s behalf under such part but only if the foster or adoptive parent (or parents) of the child is a qualified alien as defined in Section 431 of the 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Programs, services, or assistance (such as soup kitchens, crisis counseling and intervention, and short-term shelter) specified by the attorney general of the United States in the attorney general’s sole and unreviewable discretion after consultation with appropriate federal agencies and departments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 in-kind services at the community level, including through public or private nonprofit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 not condition the provision of assistance, the amount of assistance provided, or the cost of assistance provided on the individual recipient’s income or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for the protection of life or safety.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Programs of student assistance under Titles IV, V, IX, and X of the Higher Education Act of 1965 as amended to August 1, 2025, and Titles III, VII, and VIII of the Public Health Services Act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Means-tested programs under the Elementary and Secondary Education Act of 1965 as amended to August 1, 2025.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Benefits under the Head Start Act,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Benefits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w:t>
      </w:r>
      <w:r>
        <w:rPr>
          <w:rFonts w:ascii="Times New Roman" w:hAnsi="Times New Roman"/>
          <w:b w:val="false"/>
          <w:i w:val="false"/>
          <w:color w:val="000000"/>
          <w:sz w:val="22"/>
        </w:rPr>
        <w:t> </w:t>
      </w:r>
      <w:r>
        <w:rPr>
          <w:rFonts w:ascii="Times New Roman" w:hAnsi="Times New Roman"/>
          <w:b w:val="false"/>
          <w:i w:val="false"/>
          <w:color w:val="000000"/>
          <w:sz w:val="22"/>
        </w:rPr>
        <w:t>means the Immigration and Naturalization Act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“alien” as defined in </w:t>
      </w:r>
      <w:r>
        <w:rPr>
          <w:rFonts w:ascii="Times New Roman" w:hAnsi="Times New Roman"/>
          <w:b w:val="false"/>
          <w:i w:val="false"/>
          <w:color w:val="000000"/>
          <w:sz w:val="22"/>
        </w:rPr>
        <w:t>8 U.S.C. §1101(a)(3)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noncitizen”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“qualified alien” as defined in </w:t>
      </w:r>
      <w:r>
        <w:rPr>
          <w:rFonts w:ascii="Times New Roman" w:hAnsi="Times New Roman"/>
          <w:b w:val="false"/>
          <w:i w:val="false"/>
          <w:color w:val="000000"/>
          <w:sz w:val="22"/>
        </w:rPr>
        <w:t>8 U.S.C. §1641(b)</w:t>
      </w:r>
      <w:r>
        <w:rPr>
          <w:rFonts w:ascii="Times New Roman" w:hAnsi="Times New Roman"/>
          <w:b w:val="false"/>
          <w:i w:val="false"/>
          <w:color w:val="000000"/>
          <w:sz w:val="22"/>
        </w:rPr>
        <w:t xml:space="preserve"> and (c). A qualified noncitizen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Lawfully admitted for permanent residence in the United States under the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individual whose deportation from the United States is withheld under Section 243(h) of the INA as in effect before April 1, 1997, or under Section 241(b)(3) of the INA;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 Amerasian admitted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Cuban/Haitian entrant to the United States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 battered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Certified as a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An American Indian born in Canada to whom Section 289 of the INA applies or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Under the age of 21 and is lawfully residing in the United States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quarters”</w:t>
      </w:r>
      <w:r>
        <w:rPr>
          <w:rFonts w:ascii="Times New Roman" w:hAnsi="Times New Roman"/>
          <w:b w:val="false"/>
          <w:i w:val="false"/>
          <w:color w:val="000000"/>
          <w:sz w:val="22"/>
        </w:rPr>
        <w:t> </w:t>
      </w:r>
      <w:r>
        <w:rPr>
          <w:rFonts w:ascii="Times New Roman" w:hAnsi="Times New Roman"/>
          <w:b w:val="false"/>
          <w:i w:val="false"/>
          <w:color w:val="000000"/>
          <w:sz w:val="22"/>
        </w:rPr>
        <w:t>includes all of the qualifying quarters of coverage as defined under Title II of the Act worked by a parent of a noncitizen while the noncitizen was under the age of 18 and all of the qualifying quarters worked by a spouse of the noncitizen during their marriage if the noncitizen remains married to the spouse or the spouse is deceased. No qualifying quarter of coverage that is creditable under Title II of the Act for any period beginning after December 31, 1996, may be credited to a noncitizen if the parent or spouse of the noncitizen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Medicaid,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continuously present (as described in Interim Guidance on Verification of Citizenship, Qualified Alien Status and Eligibility under </w:t>
      </w:r>
      <w:r>
        <w:rPr>
          <w:rFonts w:ascii="Times New Roman" w:hAnsi="Times New Roman"/>
          <w:b w:val="false"/>
          <w:i w:val="false"/>
          <w:color w:val="000000"/>
          <w:sz w:val="22"/>
        </w:rPr>
        <w:t>Title IV of the Personal Responsibility and Work Opportunity Reconciliation Act</w:t>
      </w:r>
      <w:r>
        <w:rPr>
          <w:rFonts w:ascii="Times New Roman" w:hAnsi="Times New Roman"/>
          <w:b w:val="false"/>
          <w:i w:val="false"/>
          <w:color w:val="000000"/>
          <w:sz w:val="22"/>
        </w:rPr>
        <w:t xml:space="preserve"> (PRWORA) at 62 FR 61415 dated November 11, 1997, and as amended to August 1, 2025) in the United States since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noncitizen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noncitizen whose deportation is withheld under Section 243(h) or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is the spouse or unmarried dependent child of a qualified noncitizen described in subparagraph </w:t>
      </w:r>
      <w:hyperlink r:id="rId24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“a”</w:t>
      </w:r>
      <w:r>
        <w:rPr>
          <w:rFonts w:ascii="Times New Roman" w:hAnsi="Times New Roman"/>
          <w:b w:val="false"/>
          <w:i w:val="false"/>
          <w:color w:val="000000"/>
          <w:sz w:val="22"/>
        </w:rPr>
        <w:t xml:space="preserve">(7) or </w:t>
      </w:r>
      <w:r>
        <w:rPr>
          <w:rFonts w:ascii="Times New Roman" w:hAnsi="Times New Roman"/>
          <w:b w:val="false"/>
          <w:i/>
          <w:color w:val="000000"/>
          <w:sz w:val="22"/>
        </w:rPr>
        <w:t>“a”</w:t>
      </w:r>
      <w:r>
        <w:rPr>
          <w:rFonts w:ascii="Times New Roman" w:hAnsi="Times New Roman"/>
          <w:b w:val="false"/>
          <w:i w:val="false"/>
          <w:color w:val="000000"/>
          <w:sz w:val="22"/>
        </w:rPr>
        <w:t>(8),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has resided in the United States for a period of at least five years beginning on the date of the qualified noncitizen’s entry into the United States with a status within the meaning of numbered paragraph “1,” “4,” or “9” under the definition of “qualified noncitizen” in subrule </w:t>
      </w:r>
      <w:hyperlink r:id="rId24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admitted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American Indian born in Canada to whom Section 289 of the INA applies or who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August 1, 2025, or to Section 602(b)(8) of Public Law 111-8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Afghan paroled into the United States treated as a refugee pursuant to Section 2502 of Public Law 117-43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conditional entrant pursuant to Section 203(a)(7) of the INA as in effect before April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citizenship or qualified noncitizen status. </w:t>
      </w:r>
      <w:r>
        <w:rPr>
          <w:rFonts w:ascii="Times New Roman" w:hAnsi="Times New Roman"/>
          <w:b w:val="false"/>
          <w:i w:val="false"/>
          <w:color w:val="000000"/>
          <w:sz w:val="22"/>
        </w:rPr>
        <w:t xml:space="preserve">As a condition of eligibility, each applicant and member shall attest in writing to the applicant’s or member’s citizenship or qualified noncitizen status by signing the applicable form identified in subparagraph </w:t>
      </w:r>
      <w:hyperlink r:id="rId24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(2), </w:t>
      </w:r>
      <w:r>
        <w:rPr>
          <w:rFonts w:ascii="Times New Roman" w:hAnsi="Times New Roman"/>
          <w:b w:val="false"/>
          <w:i/>
          <w:color w:val="000000"/>
          <w:sz w:val="22"/>
        </w:rPr>
        <w:t>“b”</w:t>
      </w:r>
      <w:r>
        <w:rPr>
          <w:rFonts w:ascii="Times New Roman" w:hAnsi="Times New Roman"/>
          <w:b w:val="false"/>
          <w:i w:val="false"/>
          <w:color w:val="000000"/>
          <w:sz w:val="22"/>
        </w:rPr>
        <w:t xml:space="preserve">(3), or </w:t>
      </w:r>
      <w:r>
        <w:rPr>
          <w:rFonts w:ascii="Times New Roman" w:hAnsi="Times New Roman"/>
          <w:b w:val="false"/>
          <w:i/>
          <w:color w:val="000000"/>
          <w:sz w:val="22"/>
        </w:rPr>
        <w:t>“b”</w:t>
      </w:r>
      <w:r>
        <w:rPr>
          <w:rFonts w:ascii="Times New Roman" w:hAnsi="Times New Roman"/>
          <w:b w:val="false"/>
          <w:i w:val="false"/>
          <w:color w:val="000000"/>
          <w:sz w:val="22"/>
        </w:rPr>
        <w:t xml:space="preserve">(4). The attestation may be provided, in writing and under penalty of perjury, by an adult member of the individual’s household, an authorized representative as defined in rule </w:t>
      </w:r>
      <w:hyperlink r:id="rId24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or, if the individual is a minor or incapacitated, by someone acting responsibly for the individual provided the person acting responsibly attests to having knowledge of the individual’s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for Medicaid shall attest to their citizenship or qualified noncitizen status by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Family-related Medicaid members and members subject to MAGI methodology shall attest to their citizenship or qualified noncitizen status by completing and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Non-MAGI-related Medicaid members not actually receiving SSI who have been continuous members since August 1, 1988, shall attest to their citizenship or qualified noncitizen status by signing the application form described in subparagraph </w:t>
      </w:r>
      <w:hyperlink r:id="rId24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(1) at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prescribe forms for an attestation of citizenship or qualified noncitizen status that will meet the requirements of subrule </w:t>
      </w:r>
      <w:hyperlink r:id="rId246">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for children under the age of 19 who are otherwise eligible pursuant to rule </w:t>
      </w:r>
      <w:hyperlink r:id="rId247">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citizenship and identity or qualified noncitizen status. </w:t>
      </w:r>
      <w:r>
        <w:rPr>
          <w:rFonts w:ascii="Times New Roman" w:hAnsi="Times New Roman"/>
          <w:b w:val="false"/>
          <w:i w:val="false"/>
          <w:color w:val="000000"/>
          <w:sz w:val="22"/>
        </w:rPr>
        <w:t>An applicant or member attestation of citizenship or qualified noncitizen status must be verified as a condition of eligibility for Medicaid. An applicant or member who attests to citizenship must also verify their identity. The verification of citizenship status is acceptable as identity verification, except as stated otherwise within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by electronic data sources. The department will accept applicant or member attestation of citizenship or qualified noncitizen status as verified when the attestation is consistent with available 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citizenship and identity is required. Except for the persons identified in paragraph </w:t>
      </w:r>
      <w:hyperlink r:id="rId24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applicants or members for whom an attestation of United States citizenship has been made pursuant to paragraph </w:t>
      </w:r>
      <w:hyperlink r:id="rId24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and their identity when the attestation is not verified by available electronic data sources. Satisfactory documentation is identified in paragraphs </w:t>
      </w:r>
      <w:hyperlink r:id="rId25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The provisions of the reasonable opportunity period described in subparagraphs </w:t>
      </w:r>
      <w:hyperlink r:id="rId25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qualified noncitizen status is required. Except for persons receiving SSI benefits under Title XVI of the Act, applicants or members for whom an attestation of a qualified noncitizen status has been made pursuant to paragraph </w:t>
      </w:r>
      <w:hyperlink r:id="rId25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when the attestation is not verified by available EDS. Satisfactory documentation of qualified noncitizen status is identified in paragraph </w:t>
      </w:r>
      <w:hyperlink r:id="rId25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“j.”</w:t>
      </w:r>
      <w:r>
        <w:rPr>
          <w:rFonts w:ascii="Times New Roman" w:hAnsi="Times New Roman"/>
          <w:b w:val="false"/>
          <w:i w:val="false"/>
          <w:color w:val="000000"/>
          <w:sz w:val="22"/>
        </w:rPr>
        <w:t xml:space="preserve"> The department will request documentation in writing from the applicant or member. The provisions of the reasonable opportunity period described in subparagraphs </w:t>
      </w:r>
      <w:hyperlink r:id="rId25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Reasonable opportunity period for providing satisfactory documentation. Applicants and members will be allowed a reasonable opportunity period of 90 days to provide satisfactory documentation of citizenship and identity or qualified noncitizen status. The reasonable opportunity period begins on the date a written request for documentation or a notice pursuant to subparagraph </w:t>
      </w:r>
      <w:hyperlink r:id="rId25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(3) or </w:t>
      </w:r>
      <w:r>
        <w:rPr>
          <w:rFonts w:ascii="Times New Roman" w:hAnsi="Times New Roman"/>
          <w:b w:val="false"/>
          <w:i/>
          <w:color w:val="000000"/>
          <w:sz w:val="22"/>
        </w:rPr>
        <w:t>“c”</w:t>
      </w:r>
      <w:r>
        <w:rPr>
          <w:rFonts w:ascii="Times New Roman" w:hAnsi="Times New Roman"/>
          <w:b w:val="false"/>
          <w:i w:val="false"/>
          <w:color w:val="000000"/>
          <w:sz w:val="22"/>
        </w:rPr>
        <w:t>(7) above is issued to an applicant or member, whichever is later,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approval pending reasonable opportunity period. Medicaid will be approved for new applicants and continue for members not previously required to provide documentation of citizenship and identity or qualified noncitizen status until the end of the reasonable opportunity period, subject to </w:t>
      </w:r>
      <w:hyperlink r:id="rId256">
        <w:r>
          <w:rPr>
            <w:rStyle w:val="Hyperlink"/>
            <w:rFonts w:ascii="Times New Roman" w:hAnsi="Times New Roman"/>
            <w:b w:val="false"/>
            <w:i w:val="false"/>
            <w:color w:val="000000"/>
            <w:sz w:val="22"/>
          </w:rPr>
          <w:t>441—subrule 76.16(1)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 retroactive eligibility until citizenship and identity or qualified noncitizen status is verified. Retroactive eligibility pursuant to </w:t>
      </w:r>
      <w:hyperlink r:id="rId25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is available only after citizenship and identity or qualified noncitizen status has been verified with EDS or documentation has been provided pursuant to paragraph </w:t>
      </w:r>
      <w:hyperlink r:id="rId25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“j.”</w:t>
      </w:r>
      <w:r>
        <w:rPr>
          <w:rFonts w:ascii="Times New Roman" w:hAnsi="Times New Roman"/>
          <w:b w:val="false"/>
          <w:i w:val="false"/>
          <w:color w:val="000000"/>
          <w:sz w:val="22"/>
        </w:rPr>
        <w:t xml:space="preserve"> When applicable, the retroactive months are outside the reasonable opportunity period during which Medicaid coverage may be provided without required documentation of citizenship and identity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citizenship and identity or qualified noncitizen status not required. Applicants who reapply following a break in coverage and members who are subject to an eligibility review are not required to reverify citizenship and identity or qualified noncitizen status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reports a change in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qualified noncitizen status is a type the department has determined is subject to change;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information indicating a potential change in the individual’s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Standalone evidence of citizenship and identity. </w:t>
      </w:r>
      <w:r>
        <w:rPr>
          <w:rFonts w:ascii="Times New Roman" w:hAnsi="Times New Roman"/>
          <w:b w:val="false"/>
          <w:i w:val="false"/>
          <w:color w:val="000000"/>
          <w:sz w:val="22"/>
        </w:rPr>
        <w:t xml:space="preserve">Any one of the documents described in </w:t>
      </w:r>
      <w:r>
        <w:rPr>
          <w:rFonts w:ascii="Times New Roman" w:hAnsi="Times New Roman"/>
          <w:b w:val="false"/>
          <w:i w:val="false"/>
          <w:color w:val="000000"/>
          <w:sz w:val="22"/>
        </w:rPr>
        <w:t>42 CFR 435.407(a)</w:t>
      </w:r>
      <w:r>
        <w:rPr>
          <w:rFonts w:ascii="Times New Roman" w:hAnsi="Times New Roman"/>
          <w:b w:val="false"/>
          <w:i w:val="false"/>
          <w:color w:val="000000"/>
          <w:sz w:val="22"/>
        </w:rPr>
        <w:t xml:space="preserve"> will be accepted as sufficient evidence of citizenship and identity. In addition, provision of an individual’s name, social security number, and date of birth to the department will constitute satisfactory documentation of citizenship and identity if submission of the name, social security number, and date of birth to the SSA produces a data match response that substantiates the individual’s citizenship and identity. If submission of the name, social security number, and date of birth to the SSA does not produce a data match response that substantiates the individual’s citizenship and identity, the department will issue a written request for documentation or a notice to the applicant or member pursuant to subparagraph </w:t>
      </w:r>
      <w:hyperlink r:id="rId25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giving the applicant or member 90 days to correct any errors in the name, social security number, or date of birth submitted; to correct any errors in the SSA’s records; or to provide other documentation of citizenship and identity pursuant to paragraphs </w:t>
      </w:r>
      <w:hyperlink r:id="rId26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Combination evidence of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does not provide documentary evidence of citizenship and identity from the list in paragraph </w:t>
      </w:r>
      <w:hyperlink r:id="rId26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information or documentation as described in </w:t>
      </w:r>
      <w:r>
        <w:rPr>
          <w:rFonts w:ascii="Times New Roman" w:hAnsi="Times New Roman"/>
          <w:b w:val="false"/>
          <w:i w:val="false"/>
          <w:color w:val="000000"/>
          <w:sz w:val="22"/>
        </w:rPr>
        <w:t>42 CFR 435.407(b)</w:t>
      </w:r>
      <w:r>
        <w:rPr>
          <w:rFonts w:ascii="Times New Roman" w:hAnsi="Times New Roman"/>
          <w:b w:val="false"/>
          <w:i w:val="false"/>
          <w:color w:val="000000"/>
          <w:sz w:val="22"/>
        </w:rPr>
        <w:t xml:space="preserve"> will be accepted as satisfactory evidence to establish citizenship if accompanied by an identity document listed in paragraph </w:t>
      </w:r>
      <w:hyperlink r:id="rId26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have one of the documents listed in paragraph </w:t>
      </w:r>
      <w:hyperlink r:id="rId26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they may submit an affidavit provided by the department, signed by another individual under penalty of perjury who can reasonably attest to the applicant’s citizenship, that contains the applicant’s name, date of birth, and place of U.S. birth. The affidavit does not have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Evidence of identity. </w:t>
      </w:r>
      <w:r>
        <w:rPr>
          <w:rFonts w:ascii="Times New Roman" w:hAnsi="Times New Roman"/>
          <w:b w:val="false"/>
          <w:i w:val="false"/>
          <w:color w:val="000000"/>
          <w:sz w:val="22"/>
        </w:rPr>
        <w:t xml:space="preserve">Any of the following documents described in </w:t>
      </w:r>
      <w:r>
        <w:rPr>
          <w:rFonts w:ascii="Times New Roman" w:hAnsi="Times New Roman"/>
          <w:b w:val="false"/>
          <w:i w:val="false"/>
          <w:color w:val="000000"/>
          <w:sz w:val="22"/>
        </w:rPr>
        <w:t>42 CFR 435.407(c)</w:t>
      </w:r>
      <w:r>
        <w:rPr>
          <w:rFonts w:ascii="Times New Roman" w:hAnsi="Times New Roman"/>
          <w:b w:val="false"/>
          <w:i w:val="false"/>
          <w:color w:val="000000"/>
          <w:sz w:val="22"/>
        </w:rPr>
        <w:t xml:space="preserve"> or (d) will be accepted as proof of identify, provided the document has a photograph or other identifying information sufficient to establish identity, including but not limited to name, age, sex, race, height, weight, eye color, or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 xml:space="preserve">The department will accept documents in accordance with </w:t>
      </w:r>
      <w:r>
        <w:rPr>
          <w:rFonts w:ascii="Times New Roman" w:hAnsi="Times New Roman"/>
          <w:b w:val="false"/>
          <w:i w:val="false"/>
          <w:color w:val="000000"/>
          <w:sz w:val="22"/>
        </w:rPr>
        <w:t>42 CFR 435.407(f)</w:t>
      </w:r>
      <w:r>
        <w:rPr>
          <w:rFonts w:ascii="Times New Roman" w:hAnsi="Times New Roman"/>
          <w:b w:val="false"/>
          <w:i w:val="false"/>
          <w:color w:val="000000"/>
          <w:sz w:val="22"/>
        </w:rPr>
        <w:t xml:space="preserve"> and provide assistance in a timely manner to individuals who need assistance in securing satisfactory documentary evidence of citizenship or identity in accordance with </w:t>
      </w:r>
      <w:r>
        <w:rPr>
          <w:rFonts w:ascii="Times New Roman" w:hAnsi="Times New Roman"/>
          <w:b w:val="false"/>
          <w:i w:val="false"/>
          <w:color w:val="000000"/>
          <w:sz w:val="22"/>
        </w:rPr>
        <w:t>42 CFR 435.407(e)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Persons not required to verify citizenship and identity status. </w:t>
      </w:r>
      <w:r>
        <w:rPr>
          <w:rFonts w:ascii="Times New Roman" w:hAnsi="Times New Roman"/>
          <w:b w:val="false"/>
          <w:i w:val="false"/>
          <w:color w:val="000000"/>
          <w:sz w:val="22"/>
        </w:rPr>
        <w:t xml:space="preserve">A person for whom an attestation of United States citizenship has been made pursuant to paragraph </w:t>
      </w:r>
      <w:hyperlink r:id="rId26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and identity for Medicaid eligibility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or enrolled for benefits under any part of Title XVIII of the Act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federal social security disability insurance (SSDI) benefits under Title II of the Act, Section 223 or 202, based on disability (as defined in Section 223(d)).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SSI benefits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child welfare services funded under Part B of Title IV of the Act on the basis of being a child in foster care as defined in Iowa Code section </w:t>
      </w:r>
      <w:hyperlink r:id="rId265">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266">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B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foster care as defined in Iowa Code section </w:t>
      </w:r>
      <w:hyperlink r:id="rId26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or adoption assistance funded under Part E of Title IV of the Act. This exemption does not apply and the person is subject to the citizenship and identity documentation requirements described in paragraph </w:t>
      </w:r>
      <w:hyperlink r:id="rId26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E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documentary evidence of citizenship and identity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deemed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1396a(e)(4) on or after July 1, 2006,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1397ll(e) as the newborn of a mother eligible for assistance under a State Children’s Health Insurance Program (SCHIP) pursuant to Title XXI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Satisfactory documentation of qualified noncitizen status. </w:t>
      </w:r>
      <w:r>
        <w:rPr>
          <w:rFonts w:ascii="Times New Roman" w:hAnsi="Times New Roman"/>
          <w:b w:val="false"/>
          <w:i w:val="false"/>
          <w:color w:val="000000"/>
          <w:sz w:val="22"/>
        </w:rPr>
        <w:t xml:space="preserve">For the purpose of subparagraph </w:t>
      </w:r>
      <w:hyperlink r:id="rId26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(3), satisfactory documentation of qualified noncitizen status is documentation issued by the U.S. Citizenship and Immigration Services (USCIS) of the Department of Homeland Security (formerly Immigration and Naturalization Service (INS)) that identifies the person’s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and resources. </w:t>
      </w:r>
      <w:r>
        <w:rPr>
          <w:rFonts w:ascii="Times New Roman" w:hAnsi="Times New Roman"/>
          <w:b w:val="false"/>
          <w:i w:val="false"/>
          <w:color w:val="000000"/>
          <w:sz w:val="22"/>
        </w:rPr>
        <w:t xml:space="preserve">When a qualified noncitizen admitted for lawful permanent residence (including those who applied for an immigrant visa or for adjustment of status, other than those whose status was adjusted from refugee or asylee status under </w:t>
      </w:r>
      <w:r>
        <w:rPr>
          <w:rFonts w:ascii="Times New Roman" w:hAnsi="Times New Roman"/>
          <w:b w:val="false"/>
          <w:i w:val="false"/>
          <w:color w:val="000000"/>
          <w:sz w:val="22"/>
        </w:rPr>
        <w:t>8 U.S.C. §1159</w:t>
      </w:r>
      <w:r>
        <w:rPr>
          <w:rFonts w:ascii="Times New Roman" w:hAnsi="Times New Roman"/>
          <w:b w:val="false"/>
          <w:i w:val="false"/>
          <w:color w:val="000000"/>
          <w:sz w:val="22"/>
        </w:rPr>
        <w:t xml:space="preserve"> on or after December 19, 1997) is sponsored by a person who executed an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on behalf of the qualified noncitizen, the income and resources of each sponsor will be deemed to determine eligibility only for the sponsored qualified noncitizen and not for any nonsponsored members of the sponsored qualified noncitizen’s household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For the family-related and non-MAGI-related coverage groups described in rules </w:t>
      </w:r>
      <w:hyperlink r:id="rId270">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1">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applicable to the sponsored qualified noncitizen, the amount deemed to the sponsored qualified noncitizen will be the total gross countable income of each sponsor less the following deductions that will be applied to both family-related and non-MAGI-related applicants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deductions described at </w:t>
      </w:r>
      <w:r>
        <w:rPr>
          <w:rFonts w:ascii="Times New Roman" w:hAnsi="Times New Roman"/>
          <w:b w:val="false"/>
          <w:i w:val="false"/>
          <w:color w:val="000000"/>
          <w:sz w:val="22"/>
        </w:rPr>
        <w:t>20 CFR §416.1166</w:t>
      </w:r>
      <w:r>
        <w:rPr>
          <w:rFonts w:ascii="Times New Roman" w:hAnsi="Times New Roman"/>
          <w:b w:val="false"/>
          <w:i w:val="false"/>
          <w:color w:val="000000"/>
          <w:sz w:val="22"/>
        </w:rPr>
        <w:t>a, except that the amount to be deemed from each sponsor will be divided by the number of noncitizens sponsored by that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Diversion from countable earned and unearned income of the sponsor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Alimony or child support payments to persons not living with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to persons not living with the sponsor but who are claimed (or could be claimed) by the sponsor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for non-MAGI-related coverage groups. When the sponsored qualified noncitizen’s coverage group is non-MAGI-related, the total gross countable resources of each sponsor will be deemed to determine eligibility of the sponsored qualified noncitizen pursuant to </w:t>
      </w:r>
      <w:r>
        <w:rPr>
          <w:rFonts w:ascii="Times New Roman" w:hAnsi="Times New Roman"/>
          <w:b w:val="false"/>
          <w:i w:val="false"/>
          <w:color w:val="000000"/>
          <w:sz w:val="22"/>
        </w:rPr>
        <w:t>20 CFR §416.1204</w:t>
      </w:r>
      <w:r>
        <w:rPr>
          <w:rFonts w:ascii="Times New Roman" w:hAnsi="Times New Roman"/>
          <w:b w:val="false"/>
          <w:i w:val="false"/>
          <w:color w:val="000000"/>
          <w:sz w:val="22"/>
        </w:rPr>
        <w:t xml:space="preserve"> less the applicable following deduction: $2,000 if the sponsor does not live with a spouse, $3,000 if the sponsor lives with a spouse who is not a sponsor, or $4,000 if the sponsor lives with a spouse who is also the qualified noncitizen’s sponsor. Resources are not considered for family-related coverage groups and therefore not deemed to a sponsored qualified noncitizen applying for or receiving under a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indigent qualified noncitizen is exempt from the deeming of a sponsor’s income and resources for 12 months after indigence is determined. A qualified noncitizen will be considered indigent if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noncitizen’s gross income, including any income actually received from or made available by the sponsor, is less than 100 percent of the FPL for the sponsored qualified noncitizen’s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qualified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is exempt from the deeming of a sponsor’s income and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and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attains citizenship through naturalization pursuant to Chapter 2 of Title II of the INA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has earned 40 qualifying quarters of coverage as defined in Title II of the Act or can be credited with 40 qualifying quarters as defined in subrule </w:t>
      </w:r>
      <w:hyperlink r:id="rId27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is a lawfully residing child under the age of 21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the sponsored qualified noncitizen becomes blind or disabled as defined under Title XVI of the Act after admission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three years after the date the sponsored qualified noncitizen was admitted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payment of emergency medical services. </w:t>
      </w:r>
      <w:r>
        <w:rPr>
          <w:rFonts w:ascii="Times New Roman" w:hAnsi="Times New Roman"/>
          <w:b w:val="false"/>
          <w:i w:val="false"/>
          <w:color w:val="000000"/>
          <w:sz w:val="22"/>
        </w:rPr>
        <w:t xml:space="preserve">Noncitizens who do not meet the provisions of subrule </w:t>
      </w:r>
      <w:hyperlink r:id="rId273">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who would otherwise qualify except for their noncitizen status are eligible to receive Medicaid for care and services necessary for the treatment of an emergency medical condition as defined in subrule </w:t>
      </w:r>
      <w:hyperlink r:id="rId274">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 xml:space="preserve">. To qualify for payment under this provision, the noncitizen must meet all other eligibility criteria, including state residence requirements in rule </w:t>
      </w:r>
      <w:hyperlink r:id="rId275">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with the exception of rule </w:t>
      </w:r>
      <w:hyperlink r:id="rId276">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 xml:space="preserve">(249A) and subrules </w:t>
      </w:r>
      <w:hyperlink r:id="rId277">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t>
      </w:r>
      <w:hyperlink r:id="rId278">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441—75.12</w:t>
      </w:r>
      <w:r>
        <w:rPr>
          <w:rFonts w:ascii="Times New Roman" w:hAnsi="Times New Roman"/>
          <w:b/>
          <w:i w:val="false"/>
          <w:color w:val="000000"/>
          <w:sz w:val="22"/>
        </w:rPr>
        <w:t xml:space="preserve">(249A) </w:t>
      </w:r>
      <w:r>
        <w:rPr>
          <w:rFonts w:ascii="Times New Roman" w:hAnsi="Times New Roman"/>
          <w:b/>
          <w:i w:val="false"/>
          <w:color w:val="000000"/>
          <w:sz w:val="22"/>
        </w:rPr>
        <w:t xml:space="preserve">Inmates of public institutions. </w:t>
      </w:r>
      <w:r>
        <w:rPr>
          <w:rFonts w:ascii="Times New Roman" w:hAnsi="Times New Roman"/>
          <w:b w:val="false"/>
          <w:i w:val="false"/>
          <w:color w:val="000000"/>
          <w:sz w:val="22"/>
        </w:rPr>
        <w:t>A person is not eligible for medical assistance for any care or services received while the person is an inmate of a public institution. For the purpose of this rule, “inmate of a public institution” and “public institution” mean the same as defined in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Medical assistance will be suspended rather than canceled while a person is an inmate of a public institution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entry into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that is provided to the department by the public institution and includes the person’s first name and last name and the date the person entered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entered a public institution on or after January 1, 2012, and has been in the public institution for 30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date of entry into the public institution, the person was a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for medical assistance as an individual except for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Coverage during suspension. </w:t>
      </w:r>
      <w:r>
        <w:rPr>
          <w:rFonts w:ascii="Times New Roman" w:hAnsi="Times New Roman"/>
          <w:b w:val="false"/>
          <w:i w:val="false"/>
          <w:color w:val="000000"/>
          <w:sz w:val="22"/>
        </w:rPr>
        <w:t>While medical assistance is suspended, payment will be made only for services limited to inpatient hospital claims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The Medicaid case for an inmate who is released from a public institution while Medicaid is suspended will be reopened without an application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release from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provided to the department by the public institution that includes the person’s first name and last name and the date the person was released from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available to the department indicates that the person is currently eligible for Iowa Medicaid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division IX.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441—75.14</w:t>
      </w:r>
      <w:r>
        <w:rPr>
          <w:rFonts w:ascii="Times New Roman" w:hAnsi="Times New Roman"/>
          <w:b/>
          <w:i w:val="false"/>
          <w:color w:val="000000"/>
          <w:sz w:val="22"/>
        </w:rPr>
        <w:t xml:space="preserve">(249A) </w:t>
      </w:r>
      <w:r>
        <w:rPr>
          <w:rFonts w:ascii="Times New Roman" w:hAnsi="Times New Roman"/>
          <w:b/>
          <w:i w:val="false"/>
          <w:color w:val="000000"/>
          <w:sz w:val="22"/>
        </w:rPr>
        <w:t xml:space="preserve">Establishing liability and obtaining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adult Medicaid applicants and members shall cooperate in obtaining medical support for themselves and for any other person in the household for whom Medicaid is requested or received and for whom the applicant or member can legally assign rights for medical support, except when the member has good cause for refusal to cooperate as defined in subrule </w:t>
      </w:r>
      <w:hyperlink r:id="rId280">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 applicant shall agree to cooperate in obtaining medical support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adult member shall cooperate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parties liable for the support of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liability for the support of household members receiving Medicaid, including establishment of paternity if paternity has not previously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medical support and payments for medical care for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adult member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Appearing at the child support services as defined in </w:t>
      </w:r>
      <w:hyperlink r:id="rId281">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xml:space="preserve"> to provide verbal or written information or documentary evidence known to, possessed by or reasonably obtainable by the member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the department in supplying information with respect to potentially liable parties, the receipt of medical support or payments for medical care, and the establishment of liability for support to the extent necessary to establish eligibility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child support services by supplying all known information and documents pertaining to the location of potentially liable parties and taking action as may be necessary to secure medical support and payments for medical care or to establish liability.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make the determination of whether or not the adult member has cooperated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adult applicant to agree to cooperate or an adult member to cooperate will result in denial or cancellation of the noncooperating adult’s Medicaid benefits. In family-related Medicaid cases, all exclusions, expenses and deductions described in rule </w:t>
      </w:r>
      <w:hyperlink r:id="rId282">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 will be allowed when otherwise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Medicaid member who is required to cooperate with child support services shall have the opportunity to claim good cause for refusing to cooperate in establishing liability or securing medical support and payments for medical care. The provisions set forth in subrules </w:t>
      </w:r>
      <w:hyperlink r:id="rId283">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 xml:space="preserve"> through </w:t>
      </w:r>
      <w:hyperlink r:id="rId284">
        <w:r>
          <w:rPr>
            <w:rStyle w:val="Hyperlink"/>
            <w:rFonts w:ascii="Times New Roman" w:hAnsi="Times New Roman"/>
            <w:b w:val="false"/>
            <w:i w:val="false"/>
            <w:color w:val="000000"/>
            <w:sz w:val="22"/>
          </w:rPr>
          <w:t>75.14(11)</w:t>
        </w:r>
      </w:hyperlink>
      <w:r>
        <w:rPr>
          <w:rFonts w:ascii="Times New Roman" w:hAnsi="Times New Roman"/>
          <w:b w:val="false"/>
          <w:i w:val="false"/>
          <w:color w:val="000000"/>
          <w:sz w:val="22"/>
        </w:rPr>
        <w:t xml:space="preserve"> will be used when making a determination of the existence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val="false"/>
          <w:color w:val="000000"/>
          <w:sz w:val="22"/>
        </w:rPr>
        <w:t>Each Medicaid member shall assign to the department any rights to medical support and payments for medical care from any other person for which the person can legally make assignment. This shall include rights to medical support and payments for medical care on the member’s own behalf or on behalf of any other person in the household who receives Medicaid.</w:t>
      </w:r>
    </w:p>
    <w:p>
      <w:pPr>
        <w:spacing w:before="0" w:after="0"/>
        <w:ind w:left="120"/>
        <w:jc w:val="both"/>
      </w:pPr>
      <w:r>
        <w:rPr>
          <w:rFonts w:ascii="Times New Roman" w:hAnsi="Times New Roman"/>
          <w:b w:val="false"/>
          <w:i w:val="false"/>
          <w:color w:val="000000"/>
          <w:sz w:val="22"/>
        </w:rPr>
        <w:t>An assignment is effective the same date the notice of eligibility is issued and is effective for the entire period for which eligibility is granted. Support payments not intended for medical support will not be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establishing eligibility under the MAC coverage group as provided in subrule </w:t>
      </w:r>
      <w:hyperlink r:id="rId285">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will be exempt from the provisions in this rule for any born child for whom the pregnant woman applies for or receives Medicaid. Additionally, any previously pregnant woman eligible for postpartum coverage under the provision of subrule </w:t>
      </w:r>
      <w:hyperlink r:id="rId28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subject to the provisions in this rule until after the end of the month in which the postpartum period expires.</w:t>
      </w:r>
    </w:p>
    <w:p>
      <w:pPr>
        <w:spacing w:before="0" w:after="0"/>
        <w:ind w:left="120"/>
        <w:jc w:val="both"/>
      </w:pPr>
      <w:r>
        <w:rPr>
          <w:rFonts w:ascii="Times New Roman" w:hAnsi="Times New Roman"/>
          <w:b w:val="false"/>
          <w:i w:val="false"/>
          <w:color w:val="000000"/>
          <w:sz w:val="22"/>
        </w:rPr>
        <w:t xml:space="preserve">Pregnant women establishing eligibility under any other coverage groups, except those set forth in subrule </w:t>
      </w:r>
      <w:hyperlink r:id="rId287">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88">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be subject to the provisions in this rule when establishing eligibility for born children. However, when a pregnant woman who is subject to these provisions fails to cooperate, the woman will lose eligibility under her current coverage group and her eligibility for Medicaid will be automatically redetermined under subrule </w:t>
      </w:r>
      <w:hyperlink r:id="rId289">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90">
        <w:r>
          <w:rPr>
            <w:rStyle w:val="Hyperlink"/>
            <w:rFonts w:ascii="Times New Roman" w:hAnsi="Times New Roman"/>
            <w:b w:val="false"/>
            <w:i w:val="false"/>
            <w:color w:val="000000"/>
            <w:sz w:val="22"/>
          </w:rPr>
          <w:t>75.14(5)</w:t>
        </w:r>
      </w:hyperlink>
      <w:r>
        <w:rPr>
          <w:rFonts w:ascii="Times New Roman" w:hAnsi="Times New Roman"/>
          <w:b w:val="false"/>
          <w:i w:val="false"/>
          <w:color w:val="000000"/>
          <w:sz w:val="22"/>
        </w:rPr>
        <w:t xml:space="preserve">, any pregnant woman or previously pregnant woman establishing eligibility under subrule </w:t>
      </w:r>
      <w:hyperlink r:id="rId291">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92">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exempt from the provisions of </w:t>
      </w:r>
      <w:hyperlink r:id="rId293">
        <w:r>
          <w:rPr>
            <w:rStyle w:val="Hyperlink"/>
            <w:rFonts w:ascii="Times New Roman" w:hAnsi="Times New Roman"/>
            <w:b w:val="false"/>
            <w:i w:val="false"/>
            <w:color w:val="000000"/>
            <w:sz w:val="22"/>
          </w:rPr>
          <w:t>75.14(4)</w:t>
        </w:r>
      </w:hyperlink>
      <w:r>
        <w:rPr>
          <w:rFonts w:ascii="Times New Roman" w:hAnsi="Times New Roman"/>
          <w:b w:val="false"/>
          <w:i w:val="false"/>
          <w:color w:val="000000"/>
          <w:sz w:val="22"/>
        </w:rPr>
        <w:t xml:space="preserve"> that require an adult member to assign any rights to medical support and payments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75.14(7)</w:t>
      </w:r>
      <w:r>
        <w:rPr>
          <w:rFonts w:ascii="Times New Roman" w:hAnsi="Times New Roman"/>
          <w:b w:val="false"/>
          <w:i w:val="false"/>
          <w:color w:val="000000"/>
          <w:sz w:val="22"/>
        </w:rPr>
        <w:t> </w:t>
      </w:r>
      <w:r>
        <w:rPr>
          <w:rFonts w:ascii="Times New Roman" w:hAnsi="Times New Roman"/>
          <w:b w:val="false"/>
          <w:i w:val="false"/>
          <w:color w:val="000000"/>
          <w:sz w:val="22"/>
        </w:rPr>
        <w:t>Good cause exists when it is determined that cooperation in establishing liability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the member’s cooperation in establishing liability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child for whom support is to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other caretaker with whom the child is living that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at least one of the following circumstances exists and the department believes that because of the existence of that circumstance, in the particular case, proceeding to establish liability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will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other caretaker,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liability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75.14(8)</w:t>
      </w:r>
      <w:r>
        <w:rPr>
          <w:rFonts w:ascii="Times New Roman" w:hAnsi="Times New Roman"/>
          <w:b w:val="false"/>
          <w:i w:val="false"/>
          <w:color w:val="000000"/>
          <w:sz w:val="22"/>
        </w:rPr>
        <w:t> </w:t>
      </w:r>
      <w:r>
        <w:rPr>
          <w:rFonts w:ascii="Times New Roman" w:hAnsi="Times New Roman"/>
          <w:b w:val="false"/>
          <w:i w:val="false"/>
          <w:color w:val="000000"/>
          <w:sz w:val="22"/>
        </w:rPr>
        <w:t>Each Medicaid member who is required to cooperate with child support services will have the opportunity to claim good cause for refusing to cooperate in establishing liability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department will notify the member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potential benefits the child may derive from the establishment of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by law cooperation in establishing liability and securing support is a condition of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good cause for refusal to cooperate may be claimed and that if the department determines, in accordance with these rules, that there is good cause, the member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upon request, or following a claim of good cause, the department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makes a claim of good cause or requests additional information regarding the right to file a claim of good cause, the department will issue a second notice. To claim good cause, the member shall sign and date a form prescribed by the department and return 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member must provide corroborative evidence of good cause circumstance and must, when requested, furnish sufficient information to permit the county office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upon request, the department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on the basis of the corroborative evidence supplied and the department’s investigation, when necessary, the department will determine whether cooperation would be against the best interests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review the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attempt to establish liability and collect support in those cases where it is determined that this can be done without risk to the member if done without the member’s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who refuses to cooperate and who claims to have good cause for refusing to cooperate has the burden of establishing the existence of a good cause circumstance. Failure to meet these requirements shall constitute a sufficient basis for the department to determine that good cause does not exist. The member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member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75.14(9)</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good cause exists for each Medicaid member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member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good cause exists will be made within 45 days from the day the good cause claim is made. The department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department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294">
        <w:r>
          <w:rPr>
            <w:rStyle w:val="Hyperlink"/>
            <w:rFonts w:ascii="Times New Roman" w:hAnsi="Times New Roman"/>
            <w:b w:val="false"/>
            <w:i w:val="false"/>
            <w:color w:val="000000"/>
            <w:sz w:val="22"/>
          </w:rPr>
          <w:t>75.14(10)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will be so notified and be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loss of Medicaid for the person who refuses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good cause determination based on the corroborative evidence supplied by the member only after it has examined the evidence and found that it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child support services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participate in any appeal hearing that results from a member’s appeal of a department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a determination of good cause for refusal to cooperate when the member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department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75.14(10)</w:t>
      </w:r>
      <w:r>
        <w:rPr>
          <w:rFonts w:ascii="Times New Roman" w:hAnsi="Times New Roman"/>
          <w:b w:val="false"/>
          <w:i w:val="false"/>
          <w:color w:val="000000"/>
          <w:sz w:val="22"/>
        </w:rPr>
        <w:t> </w:t>
      </w:r>
      <w:r>
        <w:rPr>
          <w:rFonts w:ascii="Times New Roman" w:hAnsi="Times New Roman"/>
          <w:b w:val="false"/>
          <w:i w:val="false"/>
          <w:color w:val="000000"/>
          <w:sz w:val="22"/>
        </w:rPr>
        <w:t>The member who claims good cause shall provide corroborative evidence within 20 days from the day the claim was made. In exceptional cases where the department determines that the member requires additional time because of the difficulty in obtaining the corroborative evidence, the department will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that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that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potentially liable person might inflict physical or emotional harm on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emotional health history and present emotional health status of the parent or other caretaker or the children for whom support would be sought; also, written statements from a mental health professional indicating a diagnosis or prognosis concerning the emotional health of the parent or other caretaker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member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member with knowledge of the circumstances that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member, the department wishes to request additional corroborative evidence needed to permit a good cause determination,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member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corroborative evidence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requests assistance in securing evidence,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member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member’s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good cause claim when 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investigation satisfies the department that the member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a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further verify the good cause claim when the member’s statement of the claim together with the corroborative evidence do not provide sufficient basis for making a determination. When the department determines that it is necessary, the department may conduct an investigation of good cause claims to determine whether good cause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potentially liable person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making the necessary contact, notify the member so the member may present additional corroborative evidence or information so that contact with the potentially liable person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75.14(11)</w:t>
      </w:r>
      <w:r>
        <w:rPr>
          <w:rFonts w:ascii="Times New Roman" w:hAnsi="Times New Roman"/>
          <w:b w:val="false"/>
          <w:i w:val="false"/>
          <w:color w:val="000000"/>
          <w:sz w:val="22"/>
        </w:rPr>
        <w:t> </w:t>
      </w:r>
      <w:r>
        <w:rPr>
          <w:rFonts w:ascii="Times New Roman" w:hAnsi="Times New Roman"/>
          <w:b w:val="false"/>
          <w:i w:val="false"/>
          <w:color w:val="000000"/>
          <w:sz w:val="22"/>
        </w:rPr>
        <w:t>Enforcement without parent or other caretaker’s cooperation. When the department makes a determination that good cause exists, the department will also make a determination of whether child support services can proceed without risk of harm to the child, parent, or other caretaker when the enforcement or collection activities do not involve their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have an opportunity to review and comment on the findings and basis for the proposed determination and the department will consider any recommendations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will be in writing, contain the department’s findings and basis for the determination, and be entered into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excuses cooperation but determines that child support services may proceed to establish liability or enforce support, the department will notify the member to enable the individual to have the case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441—75.15</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resources. </w:t>
      </w:r>
      <w:r>
        <w:rPr>
          <w:rFonts w:ascii="Times New Roman" w:hAnsi="Times New Roman"/>
          <w:b w:val="false"/>
          <w:i w:val="false"/>
          <w:color w:val="000000"/>
          <w:sz w:val="22"/>
        </w:rPr>
        <w:t>Medical resources include health and accident insurance, eligibility for care through the Department of Veterans Affairs, specialized child health services, services received through Title XVIII of the Act (Medicare), and other resources for meeting the cost of medical care that may be available to the member. These resources must be used when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payment only for those services or that part of the cost of a given service for which no medical resources exist unless pay and chase provisions as defined in rule </w:t>
      </w:r>
      <w:hyperlink r:id="rId29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75.15(2)</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Medicaid, a person who has the legal capacity to execute an assignment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to the department all rights to payments of medical care from any third party to the extent that payment has been made under the Medicaid program. The applicant’s signature on the application form listed in </w:t>
      </w:r>
      <w:hyperlink r:id="rId296">
        <w:r>
          <w:rPr>
            <w:rStyle w:val="Hyperlink"/>
            <w:rFonts w:ascii="Times New Roman" w:hAnsi="Times New Roman"/>
            <w:b w:val="false"/>
            <w:i w:val="false"/>
            <w:color w:val="000000"/>
            <w:sz w:val="22"/>
          </w:rPr>
          <w:t>441—paragraph 76.2(1)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constitute agreement to the assignment. The assignment shall be effective for the entire period during which Medicaid makes payment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obtaining third-party payments. The member or someone acting on the member’s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or submit an application for any reasonably available medical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Cooperate in the processing of the claim 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identifying and providing information to assist the department in pursuing any third party who may be liable to pay for medical care and services available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75.15(3)</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cooperate in the filing or processing of a claim or application will be considered to exist when the member, or someone acting on behalf of a minor or legally incompetent adult member, is physically or mentally incapable of cooperation. Good cause will be considered to exist when cooperation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payee, acting on the behalf of a minor or legally incompetent adult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as required in subrule </w:t>
      </w:r>
      <w:hyperlink r:id="rId297">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xml:space="preserve"> without good cause as defined in subrule </w:t>
      </w:r>
      <w:hyperlink r:id="rId298">
        <w:r>
          <w:rPr>
            <w:rStyle w:val="Hyperlink"/>
            <w:rFonts w:ascii="Times New Roman" w:hAnsi="Times New Roman"/>
            <w:b w:val="false"/>
            <w:i w:val="false"/>
            <w:color w:val="000000"/>
            <w:sz w:val="22"/>
          </w:rPr>
          <w:t>75.15(3)</w:t>
        </w:r>
      </w:hyperlink>
      <w:r>
        <w:rPr>
          <w:rFonts w:ascii="Times New Roman" w:hAnsi="Times New Roman"/>
          <w:b w:val="false"/>
          <w:i w:val="false"/>
          <w:color w:val="000000"/>
          <w:sz w:val="22"/>
        </w:rPr>
        <w:t xml:space="preserve"> will result in the termination of Medicaid benefits. The department will make the determination of good cause based on information and evidence provided by the member or by someone acting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Medicaid benefits of a minor or legally incompetent adult member will not be terminated for failure to cooperate in reporting medical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parent or payee acting on behalf of a minor or legally incompetent adult member fails to file a claim or application for reasonably available medical resources or fails to cooperate in the processing of a claim or application without good cause, the Medicaid benefits of the parent or payee will be terminated.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441—75.16</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75.16(1)</w:t>
      </w:r>
      <w:r>
        <w:rPr>
          <w:rFonts w:ascii="Times New Roman" w:hAnsi="Times New Roman"/>
          <w:b w:val="false"/>
          <w:i w:val="false"/>
          <w:color w:val="000000"/>
          <w:sz w:val="22"/>
        </w:rPr>
        <w:t> </w:t>
      </w:r>
      <w:r>
        <w:rPr>
          <w:rFonts w:ascii="Times New Roman" w:hAnsi="Times New Roman"/>
          <w:b w:val="false"/>
          <w:i w:val="false"/>
          <w:color w:val="000000"/>
          <w:sz w:val="22"/>
        </w:rPr>
        <w:t>When the Medicaid program pays for a member’s medical care or expenses, the department will have a lien upon all monetary claims that the member may have against third parties for those expenses. Monetary claims will include medical malpractice claims for injuries sustained on or after July 1, 2011. The lien will be to the extent of the Medicaid payments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is not effective unless the department files a notice of lien with the clerk of the district court in the county where the member resides and with the member’s attorney when the member’s eligibility for Medicaid is established. The notice of lien will be filed before the third party has concluded a final settlement with the member, the member’s attorney, or other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shall obtain a written determination from the department concerning the amount of the lien before a settlement is deemed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compromise, including but not limited to notification, settlement, waiver or release of a claim, does not defeat the department’s lien except pursuant to the written agreement of the director or the director’s designee under which the department would receive less than full reimbursement of the amounts it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settlement, award, or judgment structured in any manner not to include medical expenses or an action brought by a member or on behalf of a member that fails to state a claim for recovery of medical expenses does not defeat the department’s lien if there is any recovery on the member’s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notifications required by law shall be directed to the department. Notification shall be considered made as of the time the notification is deposited so addressed, postage prepaid, in the United States Postal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75.16(2)</w:t>
      </w:r>
      <w:r>
        <w:rPr>
          <w:rFonts w:ascii="Times New Roman" w:hAnsi="Times New Roman"/>
          <w:b w:val="false"/>
          <w:i w:val="false"/>
          <w:color w:val="000000"/>
          <w:sz w:val="22"/>
        </w:rPr>
        <w:t> </w:t>
      </w:r>
      <w:r>
        <w:rPr>
          <w:rFonts w:ascii="Times New Roman" w:hAnsi="Times New Roman"/>
          <w:b w:val="false"/>
          <w:i w:val="false"/>
          <w:color w:val="000000"/>
          <w:sz w:val="22"/>
        </w:rPr>
        <w:t>The department may pursue its rights to recover either directly from any third party or from any recovery obtained by or on behalf of any member. If a member incurs the obligation to pay attorney fees and court costs for the purpose of enforcing a monetary claim to which the department has a lien under this rule, upon the receipt of the judgment or settlement of the total claim, of which the lien for Medicaid payments is a part, the court costs and reasonable attorney fees will first be deducted from this total judgment or settlement. One-third of the remaining balance will then be deducted and paid to the member. From the remaining balance, the lien of the department will be paid. Any amount remaining will be paid to the member. An attorney acting on behalf of a member for the purpose of enforcing a claim to which the department has a lien shall not collect from the member any amount as attorney fees that is in excess of the amount the attorney customarily would collect on claims not subject to this rule. The department will provide computer-generated documents or claim forms describing the services for which it has paid upon request of any affected member or the member’s attorney. The documents may also be provided to a third party where necessary to establish the extent of the department’s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75.16(3)</w:t>
      </w:r>
      <w:r>
        <w:rPr>
          <w:rFonts w:ascii="Times New Roman" w:hAnsi="Times New Roman"/>
          <w:b w:val="false"/>
          <w:i w:val="false"/>
          <w:color w:val="000000"/>
          <w:sz w:val="22"/>
        </w:rPr>
        <w:t> </w:t>
      </w:r>
      <w:r>
        <w:rPr>
          <w:rFonts w:ascii="Times New Roman" w:hAnsi="Times New Roman"/>
          <w:b w:val="false"/>
          <w:i w:val="false"/>
          <w:color w:val="000000"/>
          <w:sz w:val="22"/>
        </w:rPr>
        <w:t>In those cases where appropriate notification is not given to the department or where the department’s recovery rights are otherwise adversely affected by an action of the member or someone acting on the member’s behalf, Medicaid benefits will be terminated. The Medicaid benefits of a minor child or a legally incompetent adult member will not be terminated under this subrule. Subsequent eligibility for Medicaid benefits will be denied until an amount equal to the unrecovered claim has been reimbursed to the department or the individual produces documentation of incurred medical expense equal to the amount of the unrecovered claim. The incurred medical expense will not be paid by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provide information and verification as required to establish the availability of medical or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or person acting on the member’s behalf shall complete a form prescribed by the department, in a timely manner at the time of application, when any change in medical resources occurs during the application period, and when any changes in medical resources occur after the application is approved. A report will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that health insurance begins, changes, or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eligibility begins for care through the Department of Veterans Affairs, specialized child health services, Title XVIII of the Act (Medicare) and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files an insurance claim against an insured third party for the payment of medical expenses that otherwise would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retains an attorney with the expectation of seeking restitution for injuries from a possibly liable third party, and the medical expenses resulting from those injuries would otherwise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the member, or someone acting on the member’s behalf, receives a partial or total settlement for the payment of medical expenses that would otherwise be paid by Medicaid. The member may report the change in person, by telephone, by mail, or by using forms prescribed by the department when annual reviews are completed and when the client requests a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complete a form prescribed by the department when the department has reason to believe that the member has sustained an accident-related injury. Failure to cooperate in completing and returning this form or in giving complete and accurate information will result in the termination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recovery rights of the department are adversely affected by the actions of a parent or payee acting on behalf of a minor or legally incompetent adult member, the Medicaid benefits of the parent or payee will be terminated. When a parent or payee fails to cooperate in completing or returning any form required by the department, or fails to give complete and accurate information concerning the accident-related injuries of a minor legally incompetent adult member, the department will terminate the Medicaid benefits of the parent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refund to the department from any settlement or payment received the amount of any medical expenses paid by Medicaid. Failure of the member to do so will result in the termination of Medicaid benefits. In those instances where a parent or payee, acting on behalf of a minor or legally incompetent adult member, fails to refund a settlement overpayment to the department, the Medicaid benefits of the parent or payee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75.16(4)</w:t>
      </w:r>
      <w:r>
        <w:rPr>
          <w:rFonts w:ascii="Times New Roman" w:hAnsi="Times New Roman"/>
          <w:b w:val="false"/>
          <w:i w:val="false"/>
          <w:color w:val="000000"/>
          <w:sz w:val="22"/>
        </w:rPr>
        <w:t> </w:t>
      </w:r>
      <w:r>
        <w:rPr>
          <w:rFonts w:ascii="Times New Roman" w:hAnsi="Times New Roman"/>
          <w:b w:val="false"/>
          <w:i w:val="false"/>
          <w:color w:val="000000"/>
          <w:sz w:val="22"/>
        </w:rPr>
        <w:t>Third party and provider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inform the department by appropriate notation on Form CMS-1500 that other coverage exists but did not cover the service being billed or that payment was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notify the department in writing by mailing copies of any billing information sent to a member, an attorney, an insurer or other third party after a claim has been submitted to or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attorney representing an applicant for Medicaid or a past or present Medicaid member on a claim to which the department has filed a lien under this rule shall notify the department of the claim of which the attorney has actual knowledge, before filing a claim, commencing an action or negotiating a settlement offer. Actual knowledge shall include the notice to the attorney pursuant to subrule </w:t>
      </w:r>
      <w:hyperlink r:id="rId301">
        <w:r>
          <w:rPr>
            <w:rStyle w:val="Hyperlink"/>
            <w:rFonts w:ascii="Times New Roman" w:hAnsi="Times New Roman"/>
            <w:b w:val="false"/>
            <w:i w:val="false"/>
            <w:color w:val="000000"/>
            <w:sz w:val="22"/>
          </w:rPr>
          <w:t>75.16(1)</w:t>
        </w:r>
      </w:hyperlink>
      <w:r>
        <w:rPr>
          <w:rFonts w:ascii="Times New Roman" w:hAnsi="Times New Roman"/>
          <w:b w:val="false"/>
          <w:i w:val="false"/>
          <w:color w:val="000000"/>
          <w:sz w:val="22"/>
        </w:rPr>
        <w:t>. The mailing and deposit in a U.S. post office or public mailing box of the notice, addressed to the department at its state or local office location, is adequate legal notice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75.16(5)</w:t>
      </w:r>
      <w:r>
        <w:rPr>
          <w:rFonts w:ascii="Times New Roman" w:hAnsi="Times New Roman"/>
          <w:b w:val="false"/>
          <w:i w:val="false"/>
          <w:color w:val="000000"/>
          <w:sz w:val="22"/>
        </w:rPr>
        <w:t> </w:t>
      </w:r>
      <w:r>
        <w:rPr>
          <w:rFonts w:ascii="Times New Roman" w:hAnsi="Times New Roman"/>
          <w:b w:val="false"/>
          <w:i/>
          <w:color w:val="000000"/>
          <w:sz w:val="22"/>
        </w:rPr>
        <w:t xml:space="preserve">Department’s lien.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liens are valid and binding on an attorney, insurer or other third party only upon notice by the department or unless the attorney, insurer or other third party has actual notice that the member is receiving Medicaid from the department and only to the extent that the attorney, insurer or third party has not made payment to the member or an assignee of the member prior to the notice. Any information released to an attorney, insurer or other third party by the health care services provider that indicates that reimbursement from the state was contemplated or received will be construed as giving the attorney, insurer or other third party actual knowledge of the department’s involvement. For example, information supplied by a health care services provider that indicates Medicaid involvement will be construed as showing involvement by the department under Iowa Code section </w:t>
      </w:r>
      <w:hyperlink r:id="rId302">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 Payment of benefits by an insurer or third party pursuant to the rights of the lienholder in this rule discharges the attorney, insurer or other third party from liability to the member or the member’s assignee to the extent of the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attorney is representing a member on a claim to which the department filed a lien under this rule, the department will issue notice to that attorney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insurer is liable for the costs of a member’s medical expenses, the department will issue notice to the insurer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mailing and deposit in a U.S. post office or public mailing box of the notice, addressed to the attorney or insurer, is adequate legal notice of the department’s subrogation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75.16(6)</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“third party” includes an attorney, individual, institution, corporation, or public or private agency that is or may be liable to pay part or all of the medical costs incurred as a result of injury, disease or disability by or on behalf of an applicant for Medicaid or a past or present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75.16(7)</w:t>
      </w:r>
      <w:r>
        <w:rPr>
          <w:rFonts w:ascii="Times New Roman" w:hAnsi="Times New Roman"/>
          <w:b w:val="false"/>
          <w:i w:val="false"/>
          <w:color w:val="000000"/>
          <w:sz w:val="22"/>
        </w:rPr>
        <w:t> </w:t>
      </w:r>
      <w:r>
        <w:rPr>
          <w:rFonts w:ascii="Times New Roman" w:hAnsi="Times New Roman"/>
          <w:b w:val="false"/>
          <w:i w:val="false"/>
          <w:color w:val="000000"/>
          <w:sz w:val="22"/>
        </w:rPr>
        <w:t>The department may enforce its lien by a civil action against any liable third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4">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441—75.18</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pregnant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who was eligible and enrolled in Medicaid under the provisions of this chapter prior to the end of her pregnancy shall remain continuously eligible throughout the pregnancy and the 12-month postpartum period as provided in subrule </w:t>
      </w:r>
      <w:hyperlink r:id="rId305">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regardless of changes in circumstances, except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woman requests voluntary 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ceases to be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Medicaid finds that the woman’s eligibility was determined incorrectly at the most recent determination or redetermination of eligibility because of agency error or fraud, abuse, or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woman 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subrule </w:t>
      </w:r>
      <w:hyperlink r:id="rId30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the woman is not required to meet any eligibility criteria described in this chapter or the reenrollment requirements at </w:t>
      </w:r>
      <w:hyperlink r:id="rId307">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pregnancy and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12-month postpartum period, the woman will be subject to the reenrollment requirements at </w:t>
      </w:r>
      <w:hyperlink r:id="rId308">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75.18(4)</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309">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441—75.19</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children. </w:t>
      </w:r>
      <w:r>
        <w:rPr>
          <w:rFonts w:ascii="Times New Roman" w:hAnsi="Times New Roman"/>
          <w:b w:val="false"/>
          <w:i w:val="false"/>
          <w:color w:val="000000"/>
          <w:sz w:val="22"/>
        </w:rPr>
        <w:t>A child under the age of 19 who is determined eligible for ongoing Medicaid will retain that eligibility for up to 12 months regardless of changes in family circumstances, except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75.19(1)</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coverage. </w:t>
      </w:r>
      <w:r>
        <w:rPr>
          <w:rFonts w:ascii="Times New Roman" w:hAnsi="Times New Roman"/>
          <w:b w:val="false"/>
          <w:i w:val="false"/>
          <w:color w:val="000000"/>
          <w:sz w:val="22"/>
        </w:rPr>
        <w:t>This rule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newborn coverage group described in subrule </w:t>
      </w:r>
      <w:hyperlink r:id="rId310">
        <w:r>
          <w:rPr>
            <w:rStyle w:val="Hyperlink"/>
            <w:rFonts w:ascii="Times New Roman" w:hAnsi="Times New Roman"/>
            <w:b w:val="false"/>
            <w:i w:val="false"/>
            <w:color w:val="000000"/>
            <w:sz w:val="22"/>
          </w:rPr>
          <w:t>75.3(3)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medically needy coverage group described in rule </w:t>
      </w:r>
      <w:hyperlink r:id="rId311">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whose Medicaid is state-funded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only in a retroactive month pursuant to </w:t>
      </w:r>
      <w:hyperlink r:id="rId312">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U.S. citizenship and identity, or noncitizenship status, is not verified within the reasonable opportunity period described in paragraph </w:t>
      </w:r>
      <w:hyperlink r:id="rId31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express lane procedures described in rule </w:t>
      </w:r>
      <w:hyperlink r:id="rId314">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whose initial eligibility was established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75.19(2)</w:t>
      </w:r>
      <w:r>
        <w:rPr>
          <w:rFonts w:ascii="Times New Roman" w:hAnsi="Times New Roman"/>
          <w:b w:val="false"/>
          <w:i w:val="false"/>
          <w:color w:val="000000"/>
          <w:sz w:val="22"/>
        </w:rPr>
        <w:t> </w:t>
      </w:r>
      <w:r>
        <w:rPr>
          <w:rFonts w:ascii="Times New Roman" w:hAnsi="Times New Roman"/>
          <w:b w:val="false"/>
          <w:i/>
          <w:color w:val="000000"/>
          <w:sz w:val="22"/>
        </w:rPr>
        <w:t xml:space="preserve">Duration of coverage. </w:t>
      </w:r>
      <w:r>
        <w:rPr>
          <w:rFonts w:ascii="Times New Roman" w:hAnsi="Times New Roman"/>
          <w:b w:val="false"/>
          <w:i w:val="false"/>
          <w:color w:val="000000"/>
          <w:sz w:val="22"/>
        </w:rPr>
        <w:t>Coverage under this rule will extend through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the household’s annual eligibility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reaches the age of 19, except as stated in rule </w:t>
      </w:r>
      <w:hyperlink r:id="rId31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ceases to be a resident of Iowa or fails to provide the department with adequate information to determine whether the child meets residency requirements pursuant to rule </w:t>
      </w:r>
      <w:hyperlink r:id="rId316">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month that voluntary termination of eligibility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month the child is determined to be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75.19(3)</w:t>
      </w:r>
      <w:r>
        <w:rPr>
          <w:rFonts w:ascii="Times New Roman" w:hAnsi="Times New Roman"/>
          <w:b w:val="false"/>
          <w:i w:val="false"/>
          <w:color w:val="000000"/>
          <w:sz w:val="22"/>
        </w:rPr>
        <w:t> </w:t>
      </w:r>
      <w:r>
        <w:rPr>
          <w:rFonts w:ascii="Times New Roman" w:hAnsi="Times New Roman"/>
          <w:b w:val="false"/>
          <w:i/>
          <w:color w:val="000000"/>
          <w:sz w:val="22"/>
        </w:rPr>
        <w:t xml:space="preserve">Assignment of review date. </w:t>
      </w:r>
      <w:r>
        <w:rPr>
          <w:rFonts w:ascii="Times New Roman" w:hAnsi="Times New Roman"/>
          <w:b w:val="false"/>
          <w:i w:val="false"/>
          <w:color w:val="000000"/>
          <w:sz w:val="22"/>
        </w:rPr>
        <w:t>Children entering an existing Medicaid household will be assigned the same annual eligibility review date as that established for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SSA following an appeal on a denied application for any of the coverage groups set forth in </w:t>
      </w:r>
      <w:hyperlink r:id="rId31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31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Medicaid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Medicaid program as set forth in </w:t>
      </w:r>
      <w:hyperlink r:id="rId31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member’s behalf and has not received reimbursement through assignment as set forth in </w:t>
      </w:r>
      <w:hyperlink r:id="rId320">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val="false"/>
          <w:color w:val="000000"/>
          <w:sz w:val="22"/>
        </w:rPr>
        <w:t>Members and county relief agencies may file claims for payment under this subrule on forms prescribed the department. These forms are available from the county office. All requests for reimbursement will be acted upon within 60 days of receipt of the forms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3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441—75.21</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program. </w:t>
      </w:r>
      <w:r>
        <w:rPr>
          <w:rFonts w:ascii="Times New Roman" w:hAnsi="Times New Roman"/>
          <w:b w:val="false"/>
          <w:i w:val="false"/>
          <w:color w:val="000000"/>
          <w:sz w:val="22"/>
        </w:rPr>
        <w:t>Under the HIPP program, the department will pay for the cost of premiums, coinsurance, copayments, and deductibles for Medicaid-eligible individuals when the department determines that those costs will be less than the cost of paying for the individual’s care through Medicaid, including managed care capitation fees. Payment will include only the cost to the Medicaid-eligible individual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“Absent parent”</w:t>
      </w:r>
      <w:r>
        <w:rPr>
          <w:rFonts w:ascii="Times New Roman" w:hAnsi="Times New Roman"/>
          <w:b w:val="false"/>
          <w:i w:val="false"/>
          <w:color w:val="000000"/>
          <w:sz w:val="22"/>
        </w:rPr>
        <w:t> </w:t>
      </w:r>
      <w:r>
        <w:rPr>
          <w:rFonts w:ascii="Times New Roman" w:hAnsi="Times New Roman"/>
          <w:b w:val="false"/>
          <w:i w:val="false"/>
          <w:color w:val="000000"/>
          <w:sz w:val="22"/>
        </w:rPr>
        <w:t>means a noncustodial parent or a parent who is not living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w:t>
      </w:r>
      <w:hyperlink r:id="rId322">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“Capitation payment”</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managed care contractor on behalf of each member for the provision of health services under the managed care organization contract. Payment is made by the department regardless of whether the member receives services during the month. The managed care capitation payment varies based on the eligible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“Cost-effective”</w:t>
      </w:r>
      <w:r>
        <w:rPr>
          <w:rFonts w:ascii="Times New Roman" w:hAnsi="Times New Roman"/>
          <w:b w:val="false"/>
          <w:i w:val="false"/>
          <w:color w:val="000000"/>
          <w:sz w:val="22"/>
        </w:rPr>
        <w:t> </w:t>
      </w:r>
      <w:r>
        <w:rPr>
          <w:rFonts w:ascii="Times New Roman" w:hAnsi="Times New Roman"/>
          <w:b w:val="false"/>
          <w:i w:val="false"/>
          <w:color w:val="000000"/>
          <w:sz w:val="22"/>
        </w:rPr>
        <w:t>means a determination has been made that a savings will accrue to the department by paying the insurance premium, cost sharing, wrap benefits, and administrative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member’s portions of in-network health care costs not covered by an insurance plan. “Cost sharing” includes copayments, coinsurance and deductibles, which vary among health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person recognized as representing the interests of the member for Medicaid assistance. When the member reaches the age of 18 and the custodian is not used in determining Medicaid eligibility, there shall be legal documentation in place that the custodian is now the responsible person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“Employer-sponsored insurance”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“ESI”</w:t>
      </w:r>
      <w:r>
        <w:rPr>
          <w:rFonts w:ascii="Times New Roman" w:hAnsi="Times New Roman"/>
          <w:b w:val="false"/>
          <w:i w:val="false"/>
          <w:color w:val="000000"/>
          <w:sz w:val="22"/>
        </w:rPr>
        <w:t> </w:t>
      </w:r>
      <w:r>
        <w:rPr>
          <w:rFonts w:ascii="Times New Roman" w:hAnsi="Times New Roman"/>
          <w:b w:val="false"/>
          <w:i w:val="false"/>
          <w:color w:val="000000"/>
          <w:sz w:val="22"/>
        </w:rPr>
        <w:t>means any health insurance plan paid for by a business on behalf of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“High-deductible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“HDHP”</w:t>
      </w:r>
      <w:r>
        <w:rPr>
          <w:rFonts w:ascii="Times New Roman" w:hAnsi="Times New Roman"/>
          <w:b w:val="false"/>
          <w:i w:val="false"/>
          <w:color w:val="000000"/>
          <w:sz w:val="22"/>
        </w:rPr>
        <w:t> </w:t>
      </w:r>
      <w:r>
        <w:rPr>
          <w:rFonts w:ascii="Times New Roman" w:hAnsi="Times New Roman"/>
          <w:b w:val="false"/>
          <w:i w:val="false"/>
          <w:color w:val="000000"/>
          <w:sz w:val="22"/>
        </w:rPr>
        <w:t>means a health insurance plan that meets the definition found in Section 223(c)(2) of the United States Internal Revenue Code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“HIPP-eligible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enrollee”</w:t>
      </w:r>
      <w:r>
        <w:rPr>
          <w:rFonts w:ascii="Times New Roman" w:hAnsi="Times New Roman"/>
          <w:b w:val="false"/>
          <w:i w:val="false"/>
          <w:color w:val="000000"/>
          <w:sz w:val="22"/>
        </w:rPr>
        <w:t> </w:t>
      </w:r>
      <w:r>
        <w:rPr>
          <w:rFonts w:ascii="Times New Roman" w:hAnsi="Times New Roman"/>
          <w:b w:val="false"/>
          <w:i w:val="false"/>
          <w:color w:val="000000"/>
          <w:sz w:val="22"/>
        </w:rPr>
        <w:t>means a person whose Medicaid eligibility is calculated in the cost-effective determination for HIPP.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group of people who are used in the budgeting and size when determining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plan”</w:t>
      </w:r>
      <w:r>
        <w:rPr>
          <w:rFonts w:ascii="Times New Roman" w:hAnsi="Times New Roman"/>
          <w:b w:val="false"/>
          <w:i w:val="false"/>
          <w:color w:val="000000"/>
          <w:sz w:val="22"/>
        </w:rPr>
        <w:t> </w:t>
      </w:r>
      <w:r>
        <w:rPr>
          <w:rFonts w:ascii="Times New Roman" w:hAnsi="Times New Roman"/>
          <w:b w:val="false"/>
          <w:i w:val="false"/>
          <w:color w:val="000000"/>
          <w:sz w:val="22"/>
        </w:rPr>
        <w:t>means an insurance plan purchased through a government-run health insurance marketplace or through a local broker or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“Insurance plan”</w:t>
      </w:r>
      <w:r>
        <w:rPr>
          <w:rFonts w:ascii="Times New Roman" w:hAnsi="Times New Roman"/>
          <w:b w:val="false"/>
          <w:i w:val="false"/>
          <w:color w:val="000000"/>
          <w:sz w:val="22"/>
        </w:rPr>
        <w:t> </w:t>
      </w:r>
      <w:r>
        <w:rPr>
          <w:rFonts w:ascii="Times New Roman" w:hAnsi="Times New Roman"/>
          <w:b w:val="false"/>
          <w:i w:val="false"/>
          <w:color w:val="000000"/>
          <w:sz w:val="22"/>
        </w:rPr>
        <w:t>means major medical comprehensive health coverage provided through an employer, the Consolidated Omnibus Budget Reconciliation Act of 1985 (COBRA) as amended to August 1, 2025, a government-run health insurance marketplace, or a local broker or agent. Dental and vision plans are not considered to be insurance plans for purposes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been determined eligible for Medicaid assistance and is enrolled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“Policyholder”</w:t>
      </w:r>
      <w:r>
        <w:rPr>
          <w:rFonts w:ascii="Times New Roman" w:hAnsi="Times New Roman"/>
          <w:b w:val="false"/>
          <w:i w:val="false"/>
          <w:color w:val="000000"/>
          <w:sz w:val="22"/>
        </w:rPr>
        <w:t> </w:t>
      </w:r>
      <w:r>
        <w:rPr>
          <w:rFonts w:ascii="Times New Roman" w:hAnsi="Times New Roman"/>
          <w:b w:val="false"/>
          <w:i w:val="false"/>
          <w:color w:val="000000"/>
          <w:sz w:val="22"/>
        </w:rPr>
        <w:t>means the person in whose name an insurance policy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recognized by the department pursuant to </w:t>
      </w:r>
      <w:hyperlink r:id="rId323">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“Wrap benefits”</w:t>
      </w:r>
      <w:r>
        <w:rPr>
          <w:rFonts w:ascii="Times New Roman" w:hAnsi="Times New Roman"/>
          <w:b w:val="false"/>
          <w:i w:val="false"/>
          <w:color w:val="000000"/>
          <w:sz w:val="22"/>
        </w:rPr>
        <w:t> </w:t>
      </w:r>
      <w:r>
        <w:rPr>
          <w:rFonts w:ascii="Times New Roman" w:hAnsi="Times New Roman"/>
          <w:b w:val="false"/>
          <w:i w:val="false"/>
          <w:color w:val="000000"/>
          <w:sz w:val="22"/>
        </w:rPr>
        <w:t>means the services covered under the Medicaid state plans that are not paid for by insurance plans (i.e., waiver services,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75.21(2)</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w:t>
      </w:r>
      <w:r>
        <w:rPr>
          <w:rFonts w:ascii="Times New Roman" w:hAnsi="Times New Roman"/>
          <w:b w:val="false"/>
          <w:i w:val="false"/>
          <w:color w:val="000000"/>
          <w:sz w:val="22"/>
        </w:rPr>
        <w:t>Participation in an insurance plan is not a condition of Medicaid eligibility. The department will pay for the cost of the insurance plan premiums, coinsurance, copayment, and deductibles of an insurance plan for a member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is enrolled in or can be added to the insurance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plan is cost-effective as described in subrule </w:t>
      </w:r>
      <w:hyperlink r:id="rId324">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75.21(3)</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An insurance plan shall be considered cost-effective when the amount the department would pay for the member’s insurance premiums, cost sharing, wrap benefits, and administrative costs is likely to be less than the amount the department would pay through Medicaid, including managed care capitation fees. When determining the cost-effectiveness of an insurance plan, the following data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to the member or household for the insurance premium, coinsurance, copayments and deductibles. Costs paid by an employer or other plan sponsor will not be considered in the cost-effectiveness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care through Medicaid, including managed care capitation fees, the department would pay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cost of wrap benefits per member based on the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health-related circumstances of the members covered under the health plan. The HIPP Medical History Questionnaire will be used to obtain this information. When the information indicates any health conditions that could be expected to result prospectively in higher-than-average bills for any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covered by the insurance plan, the department will request from the policyholder, or from the responsible person for the member, an insurance summary of the member’s paid claims for the previous 12 months. If there is sufficient evidence to indicate that such claims can be expected to continue in the next 12 months, the claims will be considered in determining the cost-effectiveness of the insurance plan. The cost of the insurance plan premium, member’s cost sharing, and administrative cost are compared to the actual claims to determine the cost-effectiveness of providing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was not covered by the health plan in the previous 12 months, fee-for-service paid Medicaid claims may be used to project the cost-effectiveness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administrative expenditures of $150 per HIPP member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estimated savings to the department for members covered under the health insurance plan is at least $5 per month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75.21(4)</w:t>
      </w:r>
      <w:r>
        <w:rPr>
          <w:rFonts w:ascii="Times New Roman" w:hAnsi="Times New Roman"/>
          <w:b w:val="false"/>
          <w:i w:val="false"/>
          <w:color w:val="000000"/>
          <w:sz w:val="22"/>
        </w:rPr>
        <w:t> </w:t>
      </w:r>
      <w:r>
        <w:rPr>
          <w:rFonts w:ascii="Times New Roman" w:hAnsi="Times New Roman"/>
          <w:b w:val="false"/>
          <w:i/>
          <w:color w:val="000000"/>
          <w:sz w:val="22"/>
        </w:rPr>
        <w:t xml:space="preserve">Coverage of non-Medicaid-eligible family members. </w:t>
      </w:r>
      <w:r>
        <w:rPr>
          <w:rFonts w:ascii="Times New Roman" w:hAnsi="Times New Roman"/>
          <w:b w:val="false"/>
          <w:i w:val="false"/>
          <w:color w:val="000000"/>
          <w:sz w:val="22"/>
        </w:rPr>
        <w:t>When an insurance plan is determined to be cost-effective, the department will pay for insurance premiums for non-Medicaid-eligible family members if a non-Medicaid-eligible family member must be enrolled in the insurance plan in order to obtain coverage for the Medicaid-eligible family members.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non-Medicaid-eligible family members will not be taken into consideration when determining cost-effectiveness;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deductibles, coinsurances or other cost-sharing obligations will not be made on behalf of family members who are not Medicaid-eligible.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75.21(5)</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ineligible for reimbursement. </w:t>
      </w:r>
      <w:r>
        <w:rPr>
          <w:rFonts w:ascii="Times New Roman" w:hAnsi="Times New Roman"/>
          <w:b w:val="false"/>
          <w:i w:val="false"/>
          <w:color w:val="000000"/>
          <w:sz w:val="22"/>
        </w:rPr>
        <w:t>Premiums will not be paid for insurance plans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plan is that of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indemnity policy that supplements the policyholder’s income or pays only a predetermined amount for services covered under the policy (e.g., $50 per day for hospital services instead of 80 percent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school plan offered on the basis of attendance or enrollment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premium is used to meet a spenddown obligation under the medically needy program, as provided in rule </w:t>
      </w:r>
      <w:hyperlink r:id="rId32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when all persons in the household are eligible or potentially eligible only under the medically needy program. When some of the household members are eligible for full Medicaid benefits under coverage groups other than medically needy, the premium will be paid if it is determined to be cost-effective when considering only the persons receiving full Medicaid coverage. In those cases, the insurance premium will not be allowed as a deduction to meet the spenddown obligation for those persons in the household participating in the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insurance plan is designed to provide coverage only for a temporary period of time (e.g., 30 to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covered under the insurance plan are not Medicaid-eligible on the date the decision regarding eligibility for the HIPP program is made. No retroactive payments will be made if the case is not Medicaid-eligible on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only for a coverage group that does not provide full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coverage is provided through the Iowa Comprehensive Health Insurance Association in accordance with Iowa Code chapter </w:t>
      </w:r>
      <w:hyperlink r:id="rId326">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Insurance on the member(s) is maintained by someone who does not live with the member(s), is not the legal guardian of the member(s), is not a responsible person, or does not have legal permission to access the Medicaid information of the member(s) (e.g., self-supporting adult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member has Medicare. If other members in the household are covered by the insurance plan, cost-effectiveness is determined without including the Medicare-covered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insurance plan does not provide major medical coverage but pays only for specific situations (i.e., accident plans) or illnesses (i.e., cancer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health plan pays secondary to another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only Medicaid member is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active for Medicaid under Medicaid for children with disabilities (i.e., MKSN) pursuant to subrule </w:t>
      </w:r>
      <w:hyperlink r:id="rId327">
        <w:r>
          <w:rPr>
            <w:rStyle w:val="Hyperlink"/>
            <w:rFonts w:ascii="Times New Roman" w:hAnsi="Times New Roman"/>
            <w:b w:val="false"/>
            <w:i w:val="false"/>
            <w:color w:val="000000"/>
            <w:sz w:val="22"/>
          </w:rPr>
          <w:t>75.6(7)</w:t>
        </w:r>
      </w:hyperlink>
      <w:r>
        <w:rPr>
          <w:rFonts w:ascii="Times New Roman" w:hAnsi="Times New Roman"/>
          <w:b w:val="false"/>
          <w:i w:val="false"/>
          <w:color w:val="000000"/>
          <w:sz w:val="22"/>
        </w:rPr>
        <w:t>. Any other Medicaid members in the household who are covered by the health plan will be determined for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insurance plan is limited due to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subsidized insurance plan purchased through a government-run health insurance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On the date the decision regarding eligibility for the HIPP program is made, the insurance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HDHP.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75.21(6)</w:t>
      </w:r>
      <w:r>
        <w:rPr>
          <w:rFonts w:ascii="Times New Roman" w:hAnsi="Times New Roman"/>
          <w:b w:val="false"/>
          <w:i w:val="false"/>
          <w:color w:val="000000"/>
          <w:sz w:val="22"/>
        </w:rPr>
        <w:t> </w:t>
      </w:r>
      <w:r>
        <w:rPr>
          <w:rFonts w:ascii="Times New Roman" w:hAnsi="Times New Roman"/>
          <w:b w:val="false"/>
          <w:i/>
          <w:color w:val="000000"/>
          <w:sz w:val="22"/>
        </w:rPr>
        <w:t xml:space="preserve">Department evaluation of ESI plans. </w:t>
      </w:r>
      <w:r>
        <w:rPr>
          <w:rFonts w:ascii="Times New Roman" w:hAnsi="Times New Roman"/>
          <w:b w:val="false"/>
          <w:i w:val="false"/>
          <w:color w:val="000000"/>
          <w:sz w:val="22"/>
        </w:rPr>
        <w:t>When evaluating ESI plans available through an employer, if there is more than one cost-effective insurance plan available, the department will pay the premium for only one plan. The member may choose the cost-effective plan in which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The effective date of premium payments for a cost-effective health plan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payments shall begin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month in which the Employer’s Statement of Earnings, HIPP Program Application, or the automated HIPP referral is received by the HIPP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in which the health plan is determined to be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is not enrolled in the insurance plan when eligibility for participation in the HIPP program is established, premium payments will begin in the month in which the first premium payment is due after enrollment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was a lapse in coverage during the application process (e.g., the health plan is dropped and reenrollment occurs at a later date), premium payments will not be made for any period of time before the current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will payments be made for premiums that were used as a deduction to income for determining client participation or the amount of the spenddown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Insurance Coverage will be used to verify the effective date of coverage and costs for persons enrolled in group health plans through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of an insurance plan not obtained through an employer will be verified by a copy of the certificate of coverage for the plan or by some other verification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75.21(8)</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Payments of premiums will be made directly to the insurance carrier,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payment to an employer in order to circumvent a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employer will not agree to accept premium payments from the department in lieu of a payroll deduction to the employee’s wages, the department will reimburse the employee directly for payroll deductions or for payments made directly to the employer for the payment of premiums. The department will issue reimbursement to the employee five working days before the employee’s pay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premium payments are occurring through an automatic withdrawal from a bank account by the insurance carrier, the department may reimburse the policyholder for those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for COBRA coverage will be made directly to the insurance carrier, the COBRA administrator, or the former employer. Payments may be made directly to the former employee only in those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cannot be obtained for direct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pays for only part of the total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75.21(9)</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Claims from medical providers for persons participating in this program will be paid in the same manner as claims are paid for other persons with a third-party resource in accordance with the provisions of 441—Chapters </w:t>
      </w:r>
      <w:hyperlink r:id="rId328">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75.21(10)</w:t>
      </w:r>
      <w:r>
        <w:rPr>
          <w:rFonts w:ascii="Times New Roman" w:hAnsi="Times New Roman"/>
          <w:b w:val="false"/>
          <w:i w:val="false"/>
          <w:color w:val="000000"/>
          <w:sz w:val="22"/>
        </w:rPr>
        <w:t> </w:t>
      </w:r>
      <w:r>
        <w:rPr>
          <w:rFonts w:ascii="Times New Roman" w:hAnsi="Times New Roman"/>
          <w:b w:val="false"/>
          <w:i/>
          <w:color w:val="000000"/>
          <w:sz w:val="22"/>
        </w:rPr>
        <w:t xml:space="preserve">Reviews of cost-effectiveness and eligibility. </w:t>
      </w:r>
      <w:r>
        <w:rPr>
          <w:rFonts w:ascii="Times New Roman" w:hAnsi="Times New Roman"/>
          <w:b w:val="false"/>
          <w:i w:val="false"/>
          <w:color w:val="000000"/>
          <w:sz w:val="22"/>
        </w:rPr>
        <w:t>Reviews of cost-effectiveness and eligibility will be completed annually and may be conducted more frequently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review of ESI cost-effectiveness and eligibility will be completed using the HIPP Program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review of individual health plan cost-effectiveness and eligibility will be the HIPP Private Policy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household to cooperate in the annual review process will result in cancellation of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Redeterminations will be completed whenever: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premium rate, copayment, deductible, or coinsurance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covered under the policy loses full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hours of employment affect the availability of an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insurance carrier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policyholder leaves the Medicaid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decrease in the services covered under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Medicaid category of coverage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report changes that may affect the availability of the insurance plan reimbursed by the HIPP program, or changes that affect the cost-effectiveness of the policy, within ten calendar days from the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change in the number of members in the Medicaid household causes the health plan not to be cost-effective, lesser health plan options, as defined in paragraph </w:t>
      </w:r>
      <w:hyperlink r:id="rId330">
        <w:r>
          <w:rPr>
            <w:rStyle w:val="Hyperlink"/>
            <w:rFonts w:ascii="Times New Roman" w:hAnsi="Times New Roman"/>
            <w:b w:val="false"/>
            <w:i w:val="false"/>
            <w:color w:val="000000"/>
            <w:sz w:val="22"/>
          </w:rPr>
          <w:t>75.21(15)</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considered if they are available and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employment ends, hours of employment are reduced, or some other qualifying event affecting the availability of the group health plan occurs, the department will verify whether coverage may be continued under the provisions of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COBRA Eligibility form may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it is cost-effective to do so, the department will pay premiums to maintain insurance coverage for members after the occurrence of the event that would otherwise result in termination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determining cost-effectiveness. </w:t>
      </w:r>
      <w:r>
        <w:rPr>
          <w:rFonts w:ascii="Times New Roman" w:hAnsi="Times New Roman"/>
          <w:b w:val="false"/>
          <w:i w:val="false"/>
          <w:color w:val="000000"/>
          <w:sz w:val="22"/>
        </w:rPr>
        <w:t xml:space="preserve">The department will determine cost-effectiveness of the insurance plan and notify the applicant of the decision regarding payment of the premiums within 65 calendar days from the date an application or referral (as defined in subrule </w:t>
      </w:r>
      <w:hyperlink r:id="rId331">
        <w:r>
          <w:rPr>
            <w:rStyle w:val="Hyperlink"/>
            <w:rFonts w:ascii="Times New Roman" w:hAnsi="Times New Roman"/>
            <w:b w:val="false"/>
            <w:i w:val="false"/>
            <w:color w:val="000000"/>
            <w:sz w:val="22"/>
          </w:rPr>
          <w:t>75.21(7)</w:t>
        </w:r>
      </w:hyperlink>
      <w:r>
        <w:rPr>
          <w:rFonts w:ascii="Times New Roman" w:hAnsi="Times New Roman"/>
          <w:b w:val="false"/>
          <w:i w:val="false"/>
          <w:color w:val="000000"/>
          <w:sz w:val="22"/>
        </w:rPr>
        <w:t>) is received. Additional time may be taken when, for reasons beyond the control of the department or the applicant, information needed to establish cost-effectiveness cannot be obtained within the 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75.21(12)</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notice will be provided to the household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of the initial decision on cost-effectiveness and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that premium payments are being discontinued because Medicaid eligibility has been lost by all persons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insurance plan is no longer available to the family (e.g., the employer no longer provides health insurance coverage or the policy is terminated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provide timely and adequate notice as defined in rule </w:t>
      </w:r>
      <w:hyperlink r:id="rId33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to inform the household of a decision to discontinue payment of the health insurance premium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the insurance plan is no longer cost-effective;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failed to cooperate in providing information necessary to establish continued eligibility for the HIPP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75.21(13)</w:t>
      </w:r>
      <w:r>
        <w:rPr>
          <w:rFonts w:ascii="Times New Roman" w:hAnsi="Times New Roman"/>
          <w:b w:val="false"/>
          <w:i w:val="false"/>
          <w:color w:val="000000"/>
          <w:sz w:val="22"/>
        </w:rPr>
        <w:t> </w:t>
      </w:r>
      <w:r>
        <w:rPr>
          <w:rFonts w:ascii="Times New Roman" w:hAnsi="Times New Roman"/>
          <w:b w:val="false"/>
          <w:i/>
          <w:color w:val="000000"/>
          <w:sz w:val="22"/>
        </w:rPr>
        <w:t xml:space="preserve">Rate refund. </w:t>
      </w:r>
      <w:r>
        <w:rPr>
          <w:rFonts w:ascii="Times New Roman" w:hAnsi="Times New Roman"/>
          <w:b w:val="false"/>
          <w:i w:val="false"/>
          <w:color w:val="000000"/>
          <w:sz w:val="22"/>
        </w:rPr>
        <w:t>The department is entitled to any rate refund made when the insurance carrier determines a return of premiums to the policyholder is due for any time period for which the department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HIPP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eligibility for the HIPP program is canceled because the persons covered under the insurance plan lose Medicaid eligibility, HIPP eligibility will be reinstated when Medicaid eligibility is reestablished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HIPP eligibility is canceled because of the policyholder’s failure to cooperate in providing information necessary to establish continued eligibility for the HIPP program, benefits will be reinstated the first day of the first month in which cooperation occurs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75.21(15)</w:t>
      </w:r>
      <w:r>
        <w:rPr>
          <w:rFonts w:ascii="Times New Roman" w:hAnsi="Times New Roman"/>
          <w:b w:val="false"/>
          <w:i w:val="false"/>
          <w:color w:val="000000"/>
          <w:sz w:val="22"/>
        </w:rPr>
        <w:t> </w:t>
      </w:r>
      <w:r>
        <w:rPr>
          <w:rFonts w:ascii="Times New Roman" w:hAnsi="Times New Roman"/>
          <w:b w:val="false"/>
          <w:i/>
          <w:color w:val="000000"/>
          <w:sz w:val="22"/>
        </w:rPr>
        <w:t xml:space="preserve">Amount of insurance premium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ESI plans, the policyholder shall provide verification of the cost of all possible insurance plan options (i.e., single, employee/children,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HIPP program will pay only for the option that provides coverage to the cost-effective 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HIPP program will not pay the portion of the premium cost that is the responsibility of the employer or other plan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individual health plans, the HIPP program will pay the cost of covering the cost-effective members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plans, if another household member must be covered to obtain coverage for the members, the HIPP program will pay the cost of covering that household member if the coverage is cost-effective as determined pursuant to subrules </w:t>
      </w:r>
      <w:hyperlink r:id="rId333">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75.21(4)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75.21(16)</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Failure to report and verify changes may result in cancellation of HIPP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verify changes by providing a pay stub, a summary of benefits and coverage, a rate sheet, or a letter from the insurance carrier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the employment-related insurance carrier shall be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benefits paid during a period in which there was ineligibility for HIPP due to unreported changes shall be subject to recovery in accordance with the provisions of </w:t>
      </w:r>
      <w:hyperlink r:id="rId33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underpayment that results from an unreported change will be paid effective the first day of the month in which the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premium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household loses Medicaid eligibility, premium payments will be discontinued as of the month of Medicaid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part of the household loses Medicaid eligibility, the department will complete a review in order to ascertain whether payment of the health insurance premium continues to be cost-effective. If the department determines that the insurance plan is no longer cost-effective, premium payment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household fails to cooperate in providing information necessary to establish ongoing eligibility for the HIPP program, the department will discontinue premium payment after timely and adequate notice. The department will request all information in writing and allow the household ten calendar days in which to provide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policyholder leaves the Medicaid household, premium payments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insurance plan is no longer available or the policy has lapsed, premium payments will be discontinued as of the effective date of the termination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441—75.22</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health insurance premium payment program. </w:t>
      </w:r>
      <w:r>
        <w:rPr>
          <w:rFonts w:ascii="Times New Roman" w:hAnsi="Times New Roman"/>
          <w:b w:val="false"/>
          <w:i w:val="false"/>
          <w:color w:val="000000"/>
          <w:sz w:val="22"/>
        </w:rPr>
        <w:t xml:space="preserve">For the purposes of this rule, “AIDS” and “HIV” mean the same as defined in Iowa Code section </w:t>
      </w:r>
      <w:hyperlink r:id="rId33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w:t>
      </w:r>
      <w:r>
        <w:rPr>
          <w:rFonts w:ascii="Times New Roman" w:hAnsi="Times New Roman"/>
          <w:b w:val="false"/>
          <w:i w:val="false"/>
          <w:color w:val="000000"/>
          <w:sz w:val="22"/>
        </w:rPr>
        <w:t> </w:t>
      </w:r>
      <w:r>
        <w:rPr>
          <w:rFonts w:ascii="Times New Roman" w:hAnsi="Times New Roman"/>
          <w:b w:val="false"/>
          <w:i/>
          <w:color w:val="000000"/>
          <w:sz w:val="22"/>
        </w:rPr>
        <w:t xml:space="preserve">Conditions of eligibility. </w:t>
      </w:r>
      <w:r>
        <w:rPr>
          <w:rFonts w:ascii="Times New Roman" w:hAnsi="Times New Roman"/>
          <w:b w:val="false"/>
          <w:i w:val="false"/>
          <w:color w:val="000000"/>
          <w:sz w:val="22"/>
        </w:rPr>
        <w:t>The department will pay for the cost of continuing health insurance coverage to persons with AIDS or an HIV-related illness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shall be the policyholder, or the spouse of the policyholder, of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resident of Iowa in accordance with the provisions of rule </w:t>
      </w:r>
      <w:hyperlink r:id="rId337">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not be eligible for Medicaid. The person shall be required to apply for Medicaid benefits when it appears Medicaid eligibility may exist. Persons who are required to meet a spenddown obligation under the medically needy program, as provided in rule </w:t>
      </w:r>
      <w:hyperlink r:id="rId33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are not considered Medicaid-eligible for the purpose of establishing eligibility under these provisions. When Medicaid eligibility is attained, premium payments shall be made under the provisions of rule </w:t>
      </w:r>
      <w:hyperlink r:id="rId339">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if all criteria of that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physician’s statement shall be provided verifying the policyholder or the spouse of the policyholder suffers from AIDS or an HIV-related illness. The physician’s statement shall also verify that the policyholder or the spouse of the policyholder is or will be unable to continue employment in the person’s current position or that hours of employment will be significantly reduced due to AIDS or an HIV-related illness. The Physician’s Verification of Diagnosis form shall be used to obtain this information from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income shall not exceed 300 percent of the FPL for a family of the same size. The gross income of all family members will be counted using the definition of gross income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Liquid resources shall not exceed $10,000 per household. The following are examples of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Unobligated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Stocks, bonds, and certificates of deposit, excluding IRS-defined retirement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insurance plan must be cost-effective based on the amount of the premium and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applying for participation in this program shall complete the AIDS/HIV HIPP Application. The applicant shall be required to provide documentation of income and assets. The application will be available from and may be filed at any county office or the department.</w:t>
      </w:r>
    </w:p>
    <w:p>
      <w:pPr>
        <w:spacing w:before="0" w:after="0"/>
        <w:ind w:left="120"/>
        <w:jc w:val="both"/>
      </w:pPr>
      <w:r>
        <w:rPr>
          <w:rFonts w:ascii="Times New Roman" w:hAnsi="Times New Roman"/>
          <w:b w:val="false"/>
          <w:i w:val="false"/>
          <w:color w:val="000000"/>
          <w:sz w:val="22"/>
        </w:rPr>
        <w:t>An application will be considered as filed on the date an AIDS/HIV HIPP Application containing the applicant’s name, address and signature is received and date-stamped in any county office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Every reasonable effort will be made to render a decision within 30 days. Additional time for rendering a decision may be taken when, due to circumstances beyond the control of the applicant or the department, a decision regarding the applicant’s eligibility cannot be reached within 30 days (e.g., verification from a third party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on the day of decision. </w:t>
      </w:r>
      <w:r>
        <w:rPr>
          <w:rFonts w:ascii="Times New Roman" w:hAnsi="Times New Roman"/>
          <w:b w:val="false"/>
          <w:i w:val="false"/>
          <w:color w:val="000000"/>
          <w:sz w:val="22"/>
        </w:rPr>
        <w:t>No payments will be made for current or retroactive premiums if the person with AIDS or an HIV-related illness is deceased prior to a final eligibility determination being made on the application, if the insurance plan has lapsed, or if the person has otherwise lost coverage under the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appropriated for this purpose are obligated, the department will deny pending applications. The department will mail a notice of decision within ten calendar days following the determination that funds have been obligated. The notice will state that the applicant meets eligibility requirements but no funds are available and that the applicant will be placed on the waiting list or that the applicant does not meet eligibility requirements. Applicants not awarded funding who meet the eligibility requirements will be placed on a statewide waiting list according to the order in which the completed applications were filed. In the event that more than one application is received at one time, applicants will be entered on the waiting list on the basis of the day of the month of the applicant’s birthday, lowest number being first on the waiting list. Any subsequent tie will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75.22(3)</w:t>
      </w:r>
      <w:r>
        <w:rPr>
          <w:rFonts w:ascii="Times New Roman" w:hAnsi="Times New Roman"/>
          <w:b w:val="false"/>
          <w:i w:val="false"/>
          <w:color w:val="000000"/>
          <w:sz w:val="22"/>
        </w:rPr>
        <w:t> </w:t>
      </w:r>
      <w:r>
        <w:rPr>
          <w:rFonts w:ascii="Times New Roman" w:hAnsi="Times New Roman"/>
          <w:b w:val="false"/>
          <w:i/>
          <w:color w:val="000000"/>
          <w:sz w:val="22"/>
        </w:rPr>
        <w:t xml:space="preserve">Presumed eligibility. </w:t>
      </w:r>
      <w:r>
        <w:rPr>
          <w:rFonts w:ascii="Times New Roman" w:hAnsi="Times New Roman"/>
          <w:b w:val="false"/>
          <w:i w:val="false"/>
          <w:color w:val="000000"/>
          <w:sz w:val="22"/>
        </w:rPr>
        <w:t>The applicant may be presumed eligible to participate in the program for a period of two calendar months or until a decision regarding eligibility can be made, whichever is earlier. Presumed eligibility will be granted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completed Physician’s Verification of Diagnosis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premium statement from the insurance carrier indicating the policy will lapse before an eligibility determination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can be reasonably anticipated that the applicant will be determined eligible from income and resource statements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75.22(4)</w:t>
      </w:r>
      <w:r>
        <w:rPr>
          <w:rFonts w:ascii="Times New Roman" w:hAnsi="Times New Roman"/>
          <w:b w:val="false"/>
          <w:i w:val="false"/>
          <w:color w:val="000000"/>
          <w:sz w:val="22"/>
        </w:rPr>
        <w:t> </w:t>
      </w:r>
      <w:r>
        <w:rPr>
          <w:rFonts w:ascii="Times New Roman" w:hAnsi="Times New Roman"/>
          <w:b w:val="false"/>
          <w:i/>
          <w:color w:val="000000"/>
          <w:sz w:val="22"/>
        </w:rPr>
        <w:t xml:space="preserve">Family coverage. </w:t>
      </w:r>
      <w:r>
        <w:rPr>
          <w:rFonts w:ascii="Times New Roman" w:hAnsi="Times New Roman"/>
          <w:b w:val="false"/>
          <w:i w:val="false"/>
          <w:color w:val="000000"/>
          <w:sz w:val="22"/>
        </w:rPr>
        <w:t>When the person is enrolled in a policy that provides health insurance coverage to other members of the family, only that portion of the premium required to maintain coverage for the policyholder or the policyholder’s spouse with AIDS or an HIV-related illness will be paid under this rule unless modification of the policy would result in a loss of coverage for the person with AIDS or an HIV-related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 xml:space="preserve">Premiums shall be paid in accordance with the provisions of subrule </w:t>
      </w:r>
      <w:hyperlink r:id="rId340">
        <w:r>
          <w:rPr>
            <w:rStyle w:val="Hyperlink"/>
            <w:rFonts w:ascii="Times New Roman" w:hAnsi="Times New Roman"/>
            <w:b w:val="false"/>
            <w:i w:val="false"/>
            <w:color w:val="000000"/>
            <w:sz w:val="22"/>
          </w:rPr>
          <w:t>75.21(8)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Premium payments will be effective with the month of application or the effective date of eligibility,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75.22(7)</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The department will review circumstances of persons participating in the program quarterly to ensure eligibility criteria continue to be met. The AIDS/HIV HIPP Program Review form shall be completed by the recipient or someone acting on the recipient’s behalf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w:t>
      </w:r>
      <w:r>
        <w:rPr>
          <w:rFonts w:ascii="Times New Roman" w:hAnsi="Times New Roman"/>
          <w:b w:val="false"/>
          <w:i w:val="false"/>
          <w:color w:val="000000"/>
          <w:sz w:val="22"/>
        </w:rPr>
        <w:t>Premium payments for otherwise eligible persons shall be paid under this rule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becomes eligible for Medicaid. In which case, premium payments shall be paid in accordance with the provisions of rule </w:t>
      </w:r>
      <w:hyperlink r:id="rId341">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coverage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the insurance plan is no longer considered the most cost-effective way to pay for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appropriated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provide requested information necessary to establish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75.22(9)</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notice as defined in rule </w:t>
      </w:r>
      <w:hyperlink r:id="rId342">
        <w:r>
          <w:rPr>
            <w:rStyle w:val="Hyperlink"/>
            <w:rFonts w:ascii="Times New Roman" w:hAnsi="Times New Roman"/>
            <w:b w:val="false"/>
            <w:i w:val="false"/>
            <w:color w:val="000000"/>
            <w:sz w:val="22"/>
          </w:rPr>
          <w:t>441—16.1(17A)</w:t>
        </w:r>
      </w:hyperlink>
      <w:r>
        <w:rPr>
          <w:rFonts w:ascii="Times New Roman" w:hAnsi="Times New Roman"/>
          <w:b w:val="false"/>
          <w:i w:val="false"/>
          <w:color w:val="000000"/>
          <w:sz w:val="22"/>
        </w:rPr>
        <w:t xml:space="preserve"> will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applicant of the initial decision regarding eligibility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inform the recipient that premium payments are being discontinued under these provisions because Medicaid eligibility has been attained and premium payments will be made under the provisions of rule </w:t>
      </w:r>
      <w:hyperlink r:id="rId34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the policy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funding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and adequate notice as defined in rule </w:t>
      </w:r>
      <w:hyperlink r:id="rId34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will be provided to the recipient informing the recipient of a decision to discontinue payment of the health insurance premium when the recipient no longer meets the eligibility requirements of the program or fails to cooperate in providing information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 will protect the confidentiality of persons participating in the program in accordance with Iowa Code section </w:t>
      </w:r>
      <w:hyperlink r:id="rId345">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When it is necessary for the department to contact a third party to obtain information in order to determine initial or ongoing eligibility, a Consent to Obtain and Release Information form shall be signed by the recipient authorizing the department to make the contact.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441—75.23</w:t>
      </w:r>
      <w:r>
        <w:rPr>
          <w:rFonts w:ascii="Times New Roman" w:hAnsi="Times New Roman"/>
          <w:b/>
          <w:i w:val="false"/>
          <w:color w:val="000000"/>
          <w:sz w:val="22"/>
        </w:rPr>
        <w:t xml:space="preserve">(249A) </w:t>
      </w:r>
      <w:r>
        <w:rPr>
          <w:rFonts w:ascii="Times New Roman" w:hAnsi="Times New Roman"/>
          <w:b/>
          <w:i w:val="false"/>
          <w:color w:val="000000"/>
          <w:sz w:val="22"/>
        </w:rPr>
        <w:t xml:space="preserve">Disposal of assets for less than fair market value after August 10, 1993. </w:t>
      </w:r>
      <w:r>
        <w:rPr>
          <w:rFonts w:ascii="Times New Roman" w:hAnsi="Times New Roman"/>
          <w:b w:val="false"/>
          <w:i w:val="false"/>
          <w:color w:val="000000"/>
          <w:sz w:val="22"/>
        </w:rPr>
        <w:t xml:space="preserve">In determining Medicaid eligibility for persons described in 441—Chapters </w:t>
      </w:r>
      <w:hyperlink r:id="rId346">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34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a transfer of assets occurring after August 10, 1993, will affect Medicaid payment for medical services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services. </w:t>
      </w:r>
      <w:r>
        <w:rPr>
          <w:rFonts w:ascii="Times New Roman" w:hAnsi="Times New Roman"/>
          <w:b w:val="false"/>
          <w:i w:val="false"/>
          <w:color w:val="000000"/>
          <w:sz w:val="22"/>
        </w:rPr>
        <w:t xml:space="preserve">When an individual or spouse has transferred or disposed of assets for less than fair market value as defined in </w:t>
      </w:r>
      <w:hyperlink r:id="rId348">
        <w:r>
          <w:rPr>
            <w:rStyle w:val="Hyperlink"/>
            <w:rFonts w:ascii="Times New Roman" w:hAnsi="Times New Roman"/>
            <w:b w:val="false"/>
            <w:i w:val="false"/>
            <w:color w:val="000000"/>
            <w:sz w:val="22"/>
          </w:rPr>
          <w:t>75.23(11)</w:t>
        </w:r>
      </w:hyperlink>
      <w:r>
        <w:rPr>
          <w:rFonts w:ascii="Times New Roman" w:hAnsi="Times New Roman"/>
          <w:b w:val="false"/>
          <w:i w:val="false"/>
          <w:color w:val="000000"/>
          <w:sz w:val="22"/>
        </w:rPr>
        <w:t xml:space="preserve"> on or after the look-back date specified in subrule </w:t>
      </w:r>
      <w:hyperlink r:id="rId349">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the individual shall be ineligible for medical assistance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 xml:space="preserve">When an institutionalized individual or the spouse of the individual disposed of assets for less than fair market value on or after the look-back date, the institutionalized individual is ineligible for medical assistance payment for nursing facility services, a level of care in any institution equivalent to that of nursing facility services, and home- and community-based waiver services. The period of ineligibility is equal to the number of months specified in subrule </w:t>
      </w:r>
      <w:hyperlink r:id="rId350">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assets were transferred before February 8, 2006, the period of ineligibility begins on the first day of the first month during which the assets were transferred, except as provided in subparagraph </w:t>
      </w:r>
      <w:hyperlink r:id="rId351">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2">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nursing facility services, a level of care in any institution equivalent to that of nursing facility services, or home- and community-based waiver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individual. </w:t>
      </w:r>
      <w:r>
        <w:rPr>
          <w:rFonts w:ascii="Times New Roman" w:hAnsi="Times New Roman"/>
          <w:b w:val="false"/>
          <w:i w:val="false"/>
          <w:color w:val="000000"/>
          <w:sz w:val="22"/>
        </w:rPr>
        <w:t xml:space="preserve">When a noninstitutionalized individual or the spouse of the individual disposed of assets for less than fair market value on or after the look-back date, the individual is ineligible for medical assistance payment for home health care services, home and community care for functionally disabled elderly individuals, personal care services, and other long-term care services. The period of ineligibility is equal to the number of months specified in subrule </w:t>
      </w:r>
      <w:hyperlink r:id="rId35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assets were transferred before February 8, 2006, the period of ineligibility begins on the first day of the first month during which the assets were transferred, except as provided in subparagraph </w:t>
      </w:r>
      <w:hyperlink r:id="rId354">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5">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home health care services, home and community care for functionally disabled elderly individuals, personal care services, or other long-term care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after period of ineligibility. </w:t>
      </w:r>
      <w:r>
        <w:rPr>
          <w:rFonts w:ascii="Times New Roman" w:hAnsi="Times New Roman"/>
          <w:b w:val="false"/>
          <w:i w:val="false"/>
          <w:color w:val="000000"/>
          <w:sz w:val="22"/>
        </w:rPr>
        <w:t xml:space="preserve">Expenses incurred for long-term care services during a transfer of assets penalty period will not be deducted as medical expenses in determining client participation pursuant to subrule </w:t>
      </w:r>
      <w:hyperlink r:id="rId356">
        <w:r>
          <w:rPr>
            <w:rStyle w:val="Hyperlink"/>
            <w:rFonts w:ascii="Times New Roman" w:hAnsi="Times New Roman"/>
            <w:b w:val="false"/>
            <w:i w:val="false"/>
            <w:color w:val="000000"/>
            <w:sz w:val="22"/>
          </w:rPr>
          <w:t>75.83(2)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75.23(2)</w:t>
      </w:r>
      <w:r>
        <w:rPr>
          <w:rFonts w:ascii="Times New Roman" w:hAnsi="Times New Roman"/>
          <w:b w:val="false"/>
          <w:i w:val="false"/>
          <w:color w:val="000000"/>
          <w:sz w:val="22"/>
        </w:rPr>
        <w:t> </w:t>
      </w:r>
      <w:r>
        <w:rPr>
          <w:rFonts w:ascii="Times New Roman" w:hAnsi="Times New Roman"/>
          <w:b w:val="false"/>
          <w:i/>
          <w:color w:val="000000"/>
          <w:sz w:val="22"/>
        </w:rPr>
        <w:t xml:space="preserve">Look-back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before February 8, 2006. </w:t>
      </w:r>
      <w:r>
        <w:rPr>
          <w:rFonts w:ascii="Times New Roman" w:hAnsi="Times New Roman"/>
          <w:b w:val="false"/>
          <w:i w:val="false"/>
          <w:color w:val="000000"/>
          <w:sz w:val="22"/>
        </w:rPr>
        <w:t>When assets were transferred before February 8, 2006, the look-back date is the date that is 36 months (or, in the case of payments from a trust or portion of a trust that are treated as assets disposed of by the individual,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on or after February 8, 2006. </w:t>
      </w:r>
      <w:r>
        <w:rPr>
          <w:rFonts w:ascii="Times New Roman" w:hAnsi="Times New Roman"/>
          <w:b w:val="false"/>
          <w:i w:val="false"/>
          <w:color w:val="000000"/>
          <w:sz w:val="22"/>
        </w:rPr>
        <w:t>When assets were transferred on or after February 8, 2006, the look-back date is the date that is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75.23(3)</w:t>
      </w:r>
      <w:r>
        <w:rPr>
          <w:rFonts w:ascii="Times New Roman" w:hAnsi="Times New Roman"/>
          <w:b w:val="false"/>
          <w:i w:val="false"/>
          <w:color w:val="000000"/>
          <w:sz w:val="22"/>
        </w:rPr>
        <w:t> </w:t>
      </w:r>
      <w:r>
        <w:rPr>
          <w:rFonts w:ascii="Times New Roman" w:hAnsi="Times New Roman"/>
          <w:b w:val="false"/>
          <w:i/>
          <w:color w:val="000000"/>
          <w:sz w:val="22"/>
        </w:rPr>
        <w:t xml:space="preserve">Period of ineligibility. </w:t>
      </w:r>
      <w:r>
        <w:rPr>
          <w:rFonts w:ascii="Times New Roman" w:hAnsi="Times New Roman"/>
          <w:b w:val="false"/>
          <w:i w:val="false"/>
          <w:color w:val="000000"/>
          <w:sz w:val="22"/>
        </w:rPr>
        <w:t xml:space="preserve">The number of months of ineligibility will be equal to the total cumulative uncompensated value of all assets transferred by the individual (or the individual’s spouse) on or after the look-back date specified in subrule </w:t>
      </w:r>
      <w:hyperlink r:id="rId357">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divided by the statewide average private-pay rate for nursing facility services at the time of application. The department will determine the average statewide cost to a private-pay resident for nursing facilities and update the cost annually. Current average statewide costs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75.23(4)</w:t>
      </w:r>
      <w:r>
        <w:rPr>
          <w:rFonts w:ascii="Times New Roman" w:hAnsi="Times New Roman"/>
          <w:b w:val="false"/>
          <w:i w:val="false"/>
          <w:color w:val="000000"/>
          <w:sz w:val="22"/>
        </w:rPr>
        <w:t> </w:t>
      </w:r>
      <w:r>
        <w:rPr>
          <w:rFonts w:ascii="Times New Roman" w:hAnsi="Times New Roman"/>
          <w:b w:val="false"/>
          <w:i/>
          <w:color w:val="000000"/>
          <w:sz w:val="22"/>
        </w:rPr>
        <w:t xml:space="preserve">Reduction of period of ineligibility. </w:t>
      </w:r>
      <w:r>
        <w:rPr>
          <w:rFonts w:ascii="Times New Roman" w:hAnsi="Times New Roman"/>
          <w:b w:val="false"/>
          <w:i w:val="false"/>
          <w:color w:val="000000"/>
          <w:sz w:val="22"/>
        </w:rPr>
        <w:t>The number of months of ineligibility otherwise determined with respect to the disposal of an asset will be reduced by the months of ineligibility applicable to the individual prior to a change in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individual will not be ineligible for medical assistance under this rule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assets transferred were a home and title to the home was transferred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of the individual who is under the age of 21 or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sibling of the individual who has an equity interest in the home and who was residing in the individual’s home for a period of at least one year immediately before the individual became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child of the individual who was residing in the individual’s home for a period of at least two years immediately before the date of institutionalization and who provided care to the individual that permitted the individual to reside at home rather than in an institution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individual’s spouse or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individual’s spouse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a child of the individual who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 or to a trust established solely for the benefit of such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a trust established solely for the benefit of an individual under 65 years of age who is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showing is made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intended to dispose of the assets either at fair market value or for other valuable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 exclusively for a purpose other than to qualify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assets transferred for less than fair market value have been returned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denial of eligibility would work an undue hardship. Undue hardship exists only when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the transfer of asset penalty would deprive the individual of medical care such that the individual’s health or life would be endangered or of food, clothing, shelter, or other necessities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transferred the resource or the person’s spouse has exhausted all means including legal remedies and consultation with an attorney to recover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remaining available resources (after the attribution for the community spouse) are less than the monthly statewide average cost of nursing facility services to a private pay resident, counting the value of all resources, except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if occupied by a dependent relative or if a licensed physician verifies that the person is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vehicle required by the client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Funds for burial of $4,000 or less.</w:t>
      </w:r>
    </w:p>
    <w:p>
      <w:pPr>
        <w:spacing w:before="0" w:after="0"/>
        <w:ind w:left="120"/>
        <w:jc w:val="both"/>
      </w:pPr>
      <w:r>
        <w:rPr>
          <w:rFonts w:ascii="Times New Roman" w:hAnsi="Times New Roman"/>
          <w:b w:val="false"/>
          <w:i w:val="false"/>
          <w:color w:val="000000"/>
          <w:sz w:val="22"/>
        </w:rPr>
        <w:t>Hardship will not be found if the resource was transferred to a person who was handling the financial affairs of the client or to the spouse or children of a person handling the financial affairs of the client unless the client demonstrates that payments cannot be obtained from the funds of the person who handled the financial affairs to pay for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75.23(6)</w:t>
      </w:r>
      <w:r>
        <w:rPr>
          <w:rFonts w:ascii="Times New Roman" w:hAnsi="Times New Roman"/>
          <w:b w:val="false"/>
          <w:i w:val="false"/>
          <w:color w:val="000000"/>
          <w:sz w:val="22"/>
        </w:rPr>
        <w:t> </w:t>
      </w:r>
      <w:r>
        <w:rPr>
          <w:rFonts w:ascii="Times New Roman" w:hAnsi="Times New Roman"/>
          <w:b w:val="false"/>
          <w:i/>
          <w:color w:val="000000"/>
          <w:sz w:val="22"/>
        </w:rPr>
        <w:t xml:space="preserve">Assets held in common. </w:t>
      </w:r>
      <w:r>
        <w:rPr>
          <w:rFonts w:ascii="Times New Roman" w:hAnsi="Times New Roman"/>
          <w:b w:val="false"/>
          <w:i w:val="false"/>
          <w:color w:val="000000"/>
          <w:sz w:val="22"/>
        </w:rPr>
        <w:t>In the case of an asset held by an individual in common with another person or persons in a joint tenancy, tenancy in common, or similar arrangement, the asset, or the affected portion of the asset, will be considered to be transferred by the individual when any action is taken, either by the individual or by any other person, that reduces or eliminates the individual’s ownership or control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75.23(7)</w:t>
      </w:r>
      <w:r>
        <w:rPr>
          <w:rFonts w:ascii="Times New Roman" w:hAnsi="Times New Roman"/>
          <w:b w:val="false"/>
          <w:i w:val="false"/>
          <w:color w:val="000000"/>
          <w:sz w:val="22"/>
        </w:rPr>
        <w:t> </w:t>
      </w:r>
      <w:r>
        <w:rPr>
          <w:rFonts w:ascii="Times New Roman" w:hAnsi="Times New Roman"/>
          <w:b w:val="false"/>
          <w:i/>
          <w:color w:val="000000"/>
          <w:sz w:val="22"/>
        </w:rPr>
        <w:t xml:space="preserve">Transfer by spouse. </w:t>
      </w:r>
      <w:r>
        <w:rPr>
          <w:rFonts w:ascii="Times New Roman" w:hAnsi="Times New Roman"/>
          <w:b w:val="false"/>
          <w:i w:val="false"/>
          <w:color w:val="000000"/>
          <w:sz w:val="22"/>
        </w:rPr>
        <w:t>In the case of a transfer by a spouse of an individual that results in a period of ineligibility for medical assistance under the state plan for the individual, the period of ineligibility will be apportioned between the individual and the individual’s spouse if the spouse otherwise becomes eligible for medical assistance under the state plan. The remaining penalty period will be evenly divided on a monthly basis, with any remaining month of penalty (prorated as a half month to each spouse) applied to the spouse who initiated the transfer action.</w:t>
      </w:r>
    </w:p>
    <w:p>
      <w:pPr>
        <w:spacing w:before="0" w:after="0"/>
        <w:ind w:left="120"/>
        <w:jc w:val="both"/>
      </w:pPr>
      <w:r>
        <w:rPr>
          <w:rFonts w:ascii="Times New Roman" w:hAnsi="Times New Roman"/>
          <w:b w:val="false"/>
          <w:i w:val="false"/>
          <w:color w:val="000000"/>
          <w:sz w:val="22"/>
        </w:rPr>
        <w:t>If a spouse subsequently dies prior to the end of the penalty period, the remaining penalty period will be applied to the surviving spouse’s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“Assets”</w:t>
      </w:r>
      <w:r>
        <w:rPr>
          <w:rFonts w:ascii="Times New Roman" w:hAnsi="Times New Roman"/>
          <w:b w:val="false"/>
          <w:i w:val="false"/>
          <w:color w:val="000000"/>
          <w:sz w:val="22"/>
        </w:rPr>
        <w:t> </w:t>
      </w:r>
      <w:r>
        <w:rPr>
          <w:rFonts w:ascii="Times New Roman" w:hAnsi="Times New Roman"/>
          <w:b w:val="false"/>
          <w:i w:val="false"/>
          <w:color w:val="000000"/>
          <w:sz w:val="22"/>
        </w:rPr>
        <w:t>includes all income and resources of the individual and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or the individual’s spouse.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including a court or administrative body, with legal authority to act in place of or on behalf of the individual or the individual’s spouse.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including any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individual”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an inpatient in a nursing facility, who is an inpatient in a medical institution and with respect to whom payment is made based on a level of care provided in a nursing facility, or who is eligible for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1382b without regard (in the case of an institutionalized individual) to the exclusion of the home and land appertaining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 or disposal of assets”</w:t>
      </w:r>
      <w:r>
        <w:rPr>
          <w:rFonts w:ascii="Times New Roman" w:hAnsi="Times New Roman"/>
          <w:b w:val="false"/>
          <w:i w:val="false"/>
          <w:color w:val="000000"/>
          <w:sz w:val="22"/>
        </w:rPr>
        <w:t> </w:t>
      </w:r>
      <w:r>
        <w:rPr>
          <w:rFonts w:ascii="Times New Roman" w:hAnsi="Times New Roman"/>
          <w:b w:val="false"/>
          <w:i w:val="false"/>
          <w:color w:val="000000"/>
          <w:sz w:val="22"/>
        </w:rPr>
        <w:t>means any transfer or assignment of any legal or equitable interest in any asset as defined above,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Giving away or selling an interest in an asset;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Placing an interest in an asset in a trust that is not available to the grantor (subparagraph </w:t>
      </w:r>
      <w:hyperlink r:id="rId358">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Removing or eliminating an interest in a jointly owned asset in favor of other owners;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Disclaiming an inheritance of any property, interest, or right pursuant to Iowa Code section </w:t>
      </w:r>
      <w:hyperlink r:id="rId359">
        <w:r>
          <w:rPr>
            <w:rStyle w:val="Hyperlink"/>
            <w:rFonts w:ascii="Times New Roman" w:hAnsi="Times New Roman"/>
            <w:b w:val="false"/>
            <w:i w:val="false"/>
            <w:color w:val="000000"/>
            <w:sz w:val="22"/>
          </w:rPr>
          <w:t>633E.5</w:t>
        </w:r>
      </w:hyperlink>
      <w:r>
        <w:rPr>
          <w:rFonts w:ascii="Times New Roman" w:hAnsi="Times New Roman"/>
          <w:b w:val="false"/>
          <w:i w:val="false"/>
          <w:color w:val="000000"/>
          <w:sz w:val="22"/>
        </w:rPr>
        <w:t xml:space="preserve"> on or after July 1, 2000 (Iowa Code section </w:t>
      </w:r>
      <w:hyperlink r:id="rId360">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75.23(9)</w:t>
      </w:r>
      <w:r>
        <w:rPr>
          <w:rFonts w:ascii="Times New Roman" w:hAnsi="Times New Roman"/>
          <w:b w:val="false"/>
          <w:i w:val="false"/>
          <w:color w:val="000000"/>
          <w:sz w:val="22"/>
        </w:rPr>
        <w:t> </w:t>
      </w:r>
      <w:r>
        <w:rPr>
          <w:rFonts w:ascii="Times New Roman" w:hAnsi="Times New Roman"/>
          <w:b w:val="false"/>
          <w:i/>
          <w:color w:val="000000"/>
          <w:sz w:val="22"/>
        </w:rPr>
        <w:t xml:space="preserve">Purchase of annuities. </w:t>
      </w:r>
      <w:r>
        <w:rPr>
          <w:rFonts w:ascii="Times New Roman" w:hAnsi="Times New Roman"/>
          <w:b w:val="false"/>
          <w:i w:val="false"/>
          <w:color w:val="000000"/>
          <w:sz w:val="22"/>
        </w:rPr>
        <w:t>Funds used to purchase an annuity for more than its fair market value will be treated as assets transferred for less than fair market value regardless of when the annuity was purchased or whether the conditions described in this subrule were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amount used to purchase an annuity on or after February 8, 2006, with a Medicaid applicant or member as the annuitant will be treated as assets transferred for less than fair market value unless the annuity meets one of the conditions described in paragraph </w:t>
      </w:r>
      <w:hyperlink r:id="rId361">
        <w:r>
          <w:rPr>
            <w:rStyle w:val="Hyperlink"/>
            <w:rFonts w:ascii="Times New Roman" w:hAnsi="Times New Roman"/>
            <w:b w:val="false"/>
            <w:i w:val="false"/>
            <w:color w:val="000000"/>
            <w:sz w:val="22"/>
          </w:rPr>
          <w:t>75.23(9)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also meets the condition described in paragraph </w:t>
      </w:r>
      <w:hyperlink r:id="rId362">
        <w:r>
          <w:rPr>
            <w:rStyle w:val="Hyperlink"/>
            <w:rFonts w:ascii="Times New Roman" w:hAnsi="Times New Roman"/>
            <w:b w:val="false"/>
            <w:i w:val="false"/>
            <w:color w:val="000000"/>
            <w:sz w:val="22"/>
          </w:rPr>
          <w:t>75.23(9)</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3">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annuity is an annuity described in Subsection (b) or (q) of Section 408 of the United States Internal Revenue Code of 1986 as amended to August 1, 2025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annuity is purchased with proceeds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account or trust described in Subsection (a), (c), or (p) of Section 408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simplified employee pension (within the meaning of Section 408(k) of the U.S. IRC);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Roth IRA described in Section 408A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irrevocable and nonassignable;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actuarially sound (as determined in accordance with actuarial publications of the Office of the Chief Actuary of the SSA);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for payments in equal amounts during the term of the annuity,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4">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have Iowa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an annuity on or after February 8, 2006, with the spouse of a Medicaid applicant or member as the annuitant will be treated as assets transferred for less than fair market value unless Iowa is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75.23(10)</w:t>
      </w:r>
      <w:r>
        <w:rPr>
          <w:rFonts w:ascii="Times New Roman" w:hAnsi="Times New Roman"/>
          <w:b w:val="false"/>
          <w:i w:val="false"/>
          <w:color w:val="000000"/>
          <w:sz w:val="22"/>
        </w:rPr>
        <w:t> </w:t>
      </w:r>
      <w:r>
        <w:rPr>
          <w:rFonts w:ascii="Times New Roman" w:hAnsi="Times New Roman"/>
          <w:b w:val="false"/>
          <w:i/>
          <w:color w:val="000000"/>
          <w:sz w:val="22"/>
        </w:rPr>
        <w:t xml:space="preserve">Purchase of promissory notes, loans, or mortgages.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used to purchase a promissory note, loan, or mortgage after February 8, 2006, will be treated as assets transferred for less than fair market value in the amount of the outstanding balance due on the note, loan, or mortgage as of the date of the individual’s application for medical assistance for services described in subrule </w:t>
      </w:r>
      <w:hyperlink r:id="rId365">
        <w:r>
          <w:rPr>
            <w:rStyle w:val="Hyperlink"/>
            <w:rFonts w:ascii="Times New Roman" w:hAnsi="Times New Roman"/>
            <w:b w:val="false"/>
            <w:i w:val="false"/>
            <w:color w:val="000000"/>
            <w:sz w:val="22"/>
          </w:rPr>
          <w:t>75.23(1)</w:t>
        </w:r>
      </w:hyperlink>
      <w:r>
        <w:rPr>
          <w:rFonts w:ascii="Times New Roman" w:hAnsi="Times New Roman"/>
          <w:b w:val="false"/>
          <w:i w:val="false"/>
          <w:color w:val="000000"/>
          <w:sz w:val="22"/>
        </w:rPr>
        <w:t xml:space="preserve"> unless the note, loan, or mortgage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repayment term that is actuarially sound (as determined in accordance with actuarial publications of the Office of the Chief Actuary of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for payments to be made in equal amounts during the term of the loan,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Prohibits the cancellation of the balance upon the death of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promissory note, loan, or mortgage for less than its fair market value will be treated as assets transferred for less than fair market value regardless of whether the note, loan, or mortgage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Purchased on or after February 8, 2006, and the conditions described in paragraph </w:t>
      </w:r>
      <w:hyperlink r:id="rId366">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were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75.23(11)</w:t>
      </w:r>
      <w:r>
        <w:rPr>
          <w:rFonts w:ascii="Times New Roman" w:hAnsi="Times New Roman"/>
          <w:b w:val="false"/>
          <w:i w:val="false"/>
          <w:color w:val="000000"/>
          <w:sz w:val="22"/>
        </w:rPr>
        <w:t> </w:t>
      </w:r>
      <w:r>
        <w:rPr>
          <w:rFonts w:ascii="Times New Roman" w:hAnsi="Times New Roman"/>
          <w:b w:val="false"/>
          <w:i/>
          <w:color w:val="000000"/>
          <w:sz w:val="22"/>
        </w:rPr>
        <w:t xml:space="preserve">Purchase of life estates.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 life estate in another individual’s home after February 8, 2006, will be treated as assets transferred for less than fair market value unless the purchaser resides in the home for at least one year after the date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life estate in another individual’s home for more than its fair market value will be treated as assets transferred for less than fair market value regardless of whether the life estate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on or after February 8, 2006, and the purchaser resided in the home for one year after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441—75.24</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trusts established after August 10, 1993. </w:t>
      </w:r>
      <w:r>
        <w:rPr>
          <w:rFonts w:ascii="Times New Roman" w:hAnsi="Times New Roman"/>
          <w:b w:val="false"/>
          <w:i w:val="false"/>
          <w:color w:val="000000"/>
          <w:sz w:val="22"/>
        </w:rPr>
        <w:t xml:space="preserve">For purposes of determining an individual’s eligibility for, or the amount of, medical assistance benefits, trusts (except for trusts specified in subrule </w:t>
      </w:r>
      <w:hyperlink r:id="rId367">
        <w:r>
          <w:rPr>
            <w:rStyle w:val="Hyperlink"/>
            <w:rFonts w:ascii="Times New Roman" w:hAnsi="Times New Roman"/>
            <w:b w:val="false"/>
            <w:i w:val="false"/>
            <w:color w:val="000000"/>
            <w:sz w:val="22"/>
          </w:rPr>
          <w:t>75.24(3)</w:t>
        </w:r>
      </w:hyperlink>
      <w:r>
        <w:rPr>
          <w:rFonts w:ascii="Times New Roman" w:hAnsi="Times New Roman"/>
          <w:b w:val="false"/>
          <w:i w:val="false"/>
          <w:color w:val="000000"/>
          <w:sz w:val="22"/>
        </w:rPr>
        <w:t xml:space="preserve">) established after August 10, 1993, will be treated in accordance with subrule </w:t>
      </w:r>
      <w:hyperlink r:id="rId368">
        <w:r>
          <w:rPr>
            <w:rStyle w:val="Hyperlink"/>
            <w:rFonts w:ascii="Times New Roman" w:hAnsi="Times New Roman"/>
            <w:b w:val="false"/>
            <w:i w:val="false"/>
            <w:color w:val="000000"/>
            <w:sz w:val="22"/>
          </w:rPr>
          <w:t>75.24(2)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individual is considered to have established a trust if assets of the individual were used to form all or part of the principal of the trust and if any of the following individuals established the trust other than by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“assets,” with respect to an individual, includes all income and resources of the individual and of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trust, the principal of which includes assets of an individual and assets of any other person or persons, the provisions of this rule apply to the portion of the trust attributable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applies without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a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trustees have or exercise any discretion under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restrictions on when or whether distribution may be made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 on the use of distributions from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“trust” includes any legal instrument or device that is similar to a trust, including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75.24(2)</w:t>
      </w:r>
      <w:r>
        <w:rPr>
          <w:rFonts w:ascii="Times New Roman" w:hAnsi="Times New Roman"/>
          <w:b w:val="false"/>
          <w:i w:val="false"/>
          <w:color w:val="000000"/>
          <w:sz w:val="22"/>
        </w:rPr>
        <w:t> </w:t>
      </w:r>
      <w:r>
        <w:rPr>
          <w:rFonts w:ascii="Times New Roman" w:hAnsi="Times New Roman"/>
          <w:b w:val="false"/>
          <w:i/>
          <w:color w:val="000000"/>
          <w:sz w:val="22"/>
        </w:rPr>
        <w:t xml:space="preserve">Treatment of revocable and irrevocable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principal of the trust will be considered an available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from the trust to or for the benefit of the individual will be considered income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payments from the trust will be considered assets disposed of by the individual subject to the penalties described in rule </w:t>
      </w:r>
      <w:hyperlink r:id="rId36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0">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an irrevocable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circumstances under which payment from the trust could be made to or for the benefit of the individual, the portion of or income on the principal from which payment to the individual could be made will be considered an available resource to the individual and payments from that principal or income to or for the benefit of the individual will be considered income to the individual. Payments for any other purpose will be considered a transfer of assets by the individual subject to the penalties described in rule </w:t>
      </w:r>
      <w:hyperlink r:id="rId371">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2">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of the trust from which, or any income on the principal from which no payment could under any circumstances be made to the individual will be considered as of the date of establishment of the trust (or, if later, the date on which payment to the individual was foreclosed) to be assets disposed of by the individual subject to the penalties specified in subrule </w:t>
      </w:r>
      <w:hyperlink r:id="rId37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xml:space="preserve"> and 441—Chapter </w:t>
      </w:r>
      <w:hyperlink r:id="rId37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value of the trust will be determined for this purpose by including the amount of any payments made from this portion of the trust after this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trust that contains the assets of an individual under the age of 65 who is disabled (as defined in Section 1614(a)(3) of the Act) and that is established for the benefit of the individual by a parent, grandparent, legal guardian of the individual, or court if the state will receive all amounts remaining in the trust upon the death of the individual up to an amount equal to the total medical assistance paid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established for the benefit of an individual if the trust is composed only of pension, social security, and other income to the individual (and accumulated income of the trust); the state will receive all amounts remaining in the trust upon the death of the individual up to the amount equal to the total medical assistance paid on behalf of the individual. For disposition of trust amounts pursuant to Iowa Code chapter </w:t>
      </w:r>
      <w:hyperlink r:id="rId375">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average statewide charges and Medicaid rates are updated annually and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who is disabled (as defined in Section 1614(a)(3) of the Act)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is established and managed by a nonprofit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 is maintained for each beneficiary of the trust, but for purposes of investment and management of funds, the trust pools these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Accounts in the trust are established solely for the benefit of individuals who are disabled (as defined in Section 1614(a)(3) of the Act) by the parent, grandparent, or legal guardian of the individuals; by the individuals;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that amounts remaining in the beneficiary’s account upon death of the beneficiary are not retained by the trust, the trust pays to the state from the remaining amounts in the account an amount equal to the total amount of medical assistance paid on behalf of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441—75.25</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Medicaid qualifying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75.25(1)</w:t>
      </w:r>
      <w:r>
        <w:rPr>
          <w:rFonts w:ascii="Times New Roman" w:hAnsi="Times New Roman"/>
          <w:b w:val="false"/>
          <w:i w:val="false"/>
          <w:color w:val="000000"/>
          <w:sz w:val="22"/>
        </w:rPr>
        <w:t> </w:t>
      </w:r>
      <w:r>
        <w:rPr>
          <w:rFonts w:ascii="Times New Roman" w:hAnsi="Times New Roman"/>
          <w:b w:val="false"/>
          <w:i w:val="false"/>
          <w:color w:val="000000"/>
          <w:sz w:val="22"/>
        </w:rPr>
        <w:t>A Medicaid qualifying trust is a trust or similar legal device established on or before August 10, 1993, other than by will by a person or that person’s spouse under which the person may be the beneficiary of payments from the trust and the distribution of these payments is determined by one or more trustees who are permitted to exercise any discretion with respect to the distribution to the person. Trusts or initial trust decrees established prior to April 7, 1986, solely for the benefit of an intellectually disabled person who resides in an ICF-ID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75.25(2)</w:t>
      </w:r>
      <w:r>
        <w:rPr>
          <w:rFonts w:ascii="Times New Roman" w:hAnsi="Times New Roman"/>
          <w:b w:val="false"/>
          <w:i w:val="false"/>
          <w:color w:val="000000"/>
          <w:sz w:val="22"/>
        </w:rPr>
        <w:t> </w:t>
      </w:r>
      <w:r>
        <w:rPr>
          <w:rFonts w:ascii="Times New Roman" w:hAnsi="Times New Roman"/>
          <w:b w:val="false"/>
          <w:i w:val="false"/>
          <w:color w:val="000000"/>
          <w:sz w:val="22"/>
        </w:rPr>
        <w:t>The amount of income and principal from a Medicaid qualifying trust that will be considered available will be the maximum amount permitted under the terms of the trust assuming the full exercise of discretion by the trustee or trustees for the distribution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Trust income considered available will be counted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 principal (including accumulated income) considered available will be counted as a resource, except where the trust explicitly limits the amount of principal that can be made available on an annual or less frequent basis. Where the trust limits the amount, the principal considered available over any particular period of time will be counted as income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trust principal and income are available only for medical care, the principal or income will not be used to determine eligibility. To the extent that the trust is restricted to medical expenses, it will be used as a third-party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441—75.26</w:t>
      </w:r>
      <w:r>
        <w:rPr>
          <w:rFonts w:ascii="Times New Roman" w:hAnsi="Times New Roman"/>
          <w:b/>
          <w:i w:val="false"/>
          <w:color w:val="000000"/>
          <w:sz w:val="22"/>
        </w:rPr>
        <w:t xml:space="preserve">(249A) </w:t>
      </w:r>
      <w:r>
        <w:rPr>
          <w:rFonts w:ascii="Times New Roman" w:hAnsi="Times New Roman"/>
          <w:b/>
          <w:i w:val="false"/>
          <w:color w:val="000000"/>
          <w:sz w:val="22"/>
        </w:rPr>
        <w:t xml:space="preserve">Conservatorships.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75.26(1)</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prior to February 9, 1994. </w:t>
      </w:r>
      <w:r>
        <w:rPr>
          <w:rFonts w:ascii="Times New Roman" w:hAnsi="Times New Roman"/>
          <w:b w:val="false"/>
          <w:i w:val="false"/>
          <w:color w:val="000000"/>
          <w:sz w:val="22"/>
        </w:rPr>
        <w:t>The department will determine whether assets from a conservatorship established prior to February 9, 1994, except one established solely for the payment of medical expenses, are available by examining the language of the order establishing the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will be considered toward income limitations and resource limitations when applicable for the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assets in the conservatorship are not clearly available, the department may contact the conservator and request that the funds in the conservatorship be made available for current support and maintenance. When the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in a conservatorship that are not clearly available will be considered unavailable until the conservator or court actually makes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75.26(2)</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on or after February 9, 1994. </w:t>
      </w:r>
      <w:r>
        <w:rPr>
          <w:rFonts w:ascii="Times New Roman" w:hAnsi="Times New Roman"/>
          <w:b w:val="false"/>
          <w:i w:val="false"/>
          <w:color w:val="000000"/>
          <w:sz w:val="22"/>
        </w:rPr>
        <w:t xml:space="preserve">Conservatorships established on or after February 9, 1994, will be treated according to the provisions of paragraphs </w:t>
      </w:r>
      <w:hyperlink r:id="rId376">
        <w:r>
          <w:rPr>
            <w:rStyle w:val="Hyperlink"/>
            <w:rFonts w:ascii="Times New Roman" w:hAnsi="Times New Roman"/>
            <w:b w:val="false"/>
            <w:i w:val="false"/>
            <w:color w:val="000000"/>
            <w:sz w:val="22"/>
          </w:rPr>
          <w:t>75.24(1)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441—75.27</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settlement payments. </w:t>
      </w:r>
      <w:r>
        <w:rPr>
          <w:rFonts w:ascii="Times New Roman" w:hAnsi="Times New Roman"/>
          <w:b w:val="false"/>
          <w:i w:val="false"/>
          <w:color w:val="000000"/>
          <w:sz w:val="22"/>
        </w:rPr>
        <w:t>The following payments are exempt as income and resources when determining eligibility for or the amount of Medicaid benefits under any coverage group if the payments are kept in a separate, identifiable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75.27(1)</w:t>
      </w:r>
      <w:r>
        <w:rPr>
          <w:rFonts w:ascii="Times New Roman" w:hAnsi="Times New Roman"/>
          <w:b w:val="false"/>
          <w:i w:val="false"/>
          <w:color w:val="000000"/>
          <w:sz w:val="22"/>
        </w:rPr>
        <w:t> </w:t>
      </w:r>
      <w:r>
        <w:rPr>
          <w:rFonts w:ascii="Times New Roman" w:hAnsi="Times New Roman"/>
          <w:b w:val="false"/>
          <w:i/>
          <w:color w:val="000000"/>
          <w:sz w:val="22"/>
        </w:rPr>
        <w:t xml:space="preserve">Class settlement payments. </w:t>
      </w:r>
      <w:r>
        <w:rPr>
          <w:rFonts w:ascii="Times New Roman" w:hAnsi="Times New Roman"/>
          <w:b w:val="false"/>
          <w:i w:val="false"/>
          <w:color w:val="000000"/>
          <w:sz w:val="22"/>
        </w:rPr>
        <w:t>Payments made from any fund established pursuant to a class settlement in the case of Susan Walker v. Bayer Corporation, et al., 96-C-5024 (N.D. Ill.)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75.27(2)</w:t>
      </w:r>
      <w:r>
        <w:rPr>
          <w:rFonts w:ascii="Times New Roman" w:hAnsi="Times New Roman"/>
          <w:b w:val="false"/>
          <w:i w:val="false"/>
          <w:color w:val="000000"/>
          <w:sz w:val="22"/>
        </w:rPr>
        <w:t> </w:t>
      </w:r>
      <w:r>
        <w:rPr>
          <w:rFonts w:ascii="Times New Roman" w:hAnsi="Times New Roman"/>
          <w:b w:val="false"/>
          <w:i/>
          <w:color w:val="000000"/>
          <w:sz w:val="22"/>
        </w:rPr>
        <w:t xml:space="preserve">Other settlement payments. </w:t>
      </w:r>
      <w:r>
        <w:rPr>
          <w:rFonts w:ascii="Times New Roman" w:hAnsi="Times New Roman"/>
          <w:b w:val="false"/>
          <w:i w:val="false"/>
          <w:color w:val="000000"/>
          <w:sz w:val="22"/>
        </w:rPr>
        <w:t xml:space="preserve">Payments made pursuant to a release of all claims in a case that is entered into in lieu of the class settlement referred to in subrule </w:t>
      </w:r>
      <w:hyperlink r:id="rId378">
        <w:r>
          <w:rPr>
            <w:rStyle w:val="Hyperlink"/>
            <w:rFonts w:ascii="Times New Roman" w:hAnsi="Times New Roman"/>
            <w:b w:val="false"/>
            <w:i w:val="false"/>
            <w:color w:val="000000"/>
            <w:sz w:val="22"/>
          </w:rPr>
          <w:t>75.27(1)</w:t>
        </w:r>
      </w:hyperlink>
      <w:r>
        <w:rPr>
          <w:rFonts w:ascii="Times New Roman" w:hAnsi="Times New Roman"/>
          <w:b w:val="false"/>
          <w:i w:val="false"/>
          <w:color w:val="000000"/>
          <w:sz w:val="22"/>
        </w:rPr>
        <w:t xml:space="preserve"> and that is signed by all affected parties in the cases on or before the later of December 31, 1997, or the date that is 270 days after the date on which the release is first sent to the person (or the legal representative of the person) to whom payment is to be made are exempt.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overpayment”</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379">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“Premiums paid for medical assistance”</w:t>
      </w:r>
      <w:r>
        <w:rPr>
          <w:rFonts w:ascii="Times New Roman" w:hAnsi="Times New Roman"/>
          <w:b w:val="false"/>
          <w:i w:val="false"/>
          <w:color w:val="000000"/>
          <w:sz w:val="22"/>
        </w:rPr>
        <w:t> </w:t>
      </w:r>
      <w:r>
        <w:rPr>
          <w:rFonts w:ascii="Times New Roman" w:hAnsi="Times New Roman"/>
          <w:b w:val="false"/>
          <w:i w:val="false"/>
          <w:color w:val="000000"/>
          <w:sz w:val="22"/>
        </w:rPr>
        <w:t>means monthly premiums assessed to a member or household for Medicaid or IHAWP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ICF-ID, or a mental health institute enrolled as an inpatient psychiatric facility may be made by the client to the facility. The department will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38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of the member’s surviving spouse, or of the member’s surviving child as provided in this subrule. Effective January 1, 2010, medical assistance that has been paid for Medicare cost sharing or for benefits described in Section 1902(a)(10)(E) of the Act is not subject to recovery. All assets included in the estate of the member, the surviving spouse, or the surviving child are subject to probate for the purposes of medical assistance estate recovery pursuant to Iowa Code section </w:t>
      </w:r>
      <w:hyperlink r:id="rId381">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classification of the debt is defined in Iowa Code section </w:t>
      </w:r>
      <w:hyperlink r:id="rId382">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in subrule </w:t>
      </w:r>
      <w:hyperlink r:id="rId383">
        <w:r>
          <w:rPr>
            <w:rStyle w:val="Hyperlink"/>
            <w:rFonts w:ascii="Times New Roman" w:hAnsi="Times New Roman"/>
            <w:b w:val="false"/>
            <w:i w:val="false"/>
            <w:color w:val="000000"/>
            <w:sz w:val="22"/>
          </w:rPr>
          <w:t>75.28(1)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“Capitated payment/rate”</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“Estate.”</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means an entity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contract with the department to provide services to Medicaid recipients,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Meets the definition of “health maintenance organization” in Iowa Code section </w:t>
      </w:r>
      <w:hyperlink r:id="rId38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age of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resident of a nursing facility, an ICF-ID, or a mental health institute;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will presume that the member cannot or could not reasonably be expected to be discharged and return home and a debt due will be established. The department will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will be established until the department has made a decision on the member’s ability to return home. If the determination is that there is or was no ability to return home, a debt due will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a determination, the department will determine if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cannot make a determination until the member has been in an institution at least six months or after the death of the member, whichever is earlier. The department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Iowa Medicaid will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department will notify the member or the member’s representative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38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department upon the death of a member residing in the facility by submitting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form or a report of a member’s death through other means, the department will request a statement of the member’s assets from the member’s personal representative. The representative shall sign and return a form prescribed by the department indicating whether assets remain and, if so, what the assets are and what higher priority expenses exist.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those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FPL for a household of the same size; total household resources do not exceed $10,000; and application of estate recovery would result in deprivation of food, clothing, shelter, or medical care such that life or health would be endangered. For this purpose, “income” and “resources” will be defined as being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386">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determine whether undue hardship exists on a case-by-case basis. Appeals of adverse decisions regarding an undue hardship determination may be filed in accordance with </w:t>
      </w:r>
      <w:hyperlink r:id="rId38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388">
        <w:r>
          <w:rPr>
            <w:rStyle w:val="Hyperlink"/>
            <w:rFonts w:ascii="Times New Roman" w:hAnsi="Times New Roman"/>
            <w:b w:val="false"/>
            <w:i w:val="false"/>
            <w:color w:val="000000"/>
            <w:sz w:val="22"/>
          </w:rPr>
          <w:t>75.28(7)</w:t>
        </w:r>
      </w:hyperlink>
      <w:r>
        <w:rPr>
          <w:rFonts w:ascii="Times New Roman" w:hAnsi="Times New Roman"/>
          <w:b w:val="false"/>
          <w:i/>
          <w:color w:val="000000"/>
          <w:sz w:val="22"/>
        </w:rPr>
        <w:t>“g,”</w:t>
      </w:r>
      <w:r>
        <w:rPr>
          <w:rFonts w:ascii="Times New Roman" w:hAnsi="Times New Roman"/>
          <w:b w:val="false"/>
          <w:i w:val="false"/>
          <w:color w:val="000000"/>
          <w:sz w:val="22"/>
        </w:rPr>
        <w:t xml:space="preserve"> to the extent that the person received the member’s estate, the amount waived will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Medicaid under subrule </w:t>
      </w:r>
      <w:hyperlink r:id="rId389">
        <w:r>
          <w:rPr>
            <w:rStyle w:val="Hyperlink"/>
            <w:rFonts w:ascii="Times New Roman" w:hAnsi="Times New Roman"/>
            <w:b w:val="false"/>
            <w:i w:val="false"/>
            <w:color w:val="000000"/>
            <w:sz w:val="22"/>
          </w:rPr>
          <w:t>75.82(5)</w:t>
        </w:r>
      </w:hyperlink>
      <w:r>
        <w:rPr>
          <w:rFonts w:ascii="Times New Roman" w:hAnsi="Times New Roman"/>
          <w:b w:val="false"/>
          <w:i w:val="false"/>
          <w:color w:val="000000"/>
          <w:sz w:val="22"/>
        </w:rPr>
        <w:t xml:space="preserve"> will not be subject to a claim for Medicaid paid on the member’s behalf up to the amount of the assets disregarded by asset disregard. Medicaid paid on behalf of the member before these conditions will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will accrue on a debt due under this subrule in accordance with Iowa Code section </w:t>
      </w:r>
      <w:hyperlink r:id="rId390">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a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391">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will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441—75.29</w:t>
      </w:r>
      <w:r>
        <w:rPr>
          <w:rFonts w:ascii="Times New Roman" w:hAnsi="Times New Roman"/>
          <w:b/>
          <w:i w:val="false"/>
          <w:color w:val="000000"/>
          <w:sz w:val="22"/>
        </w:rPr>
        <w:t xml:space="preserve">(249A) </w:t>
      </w:r>
      <w:r>
        <w:rPr>
          <w:rFonts w:ascii="Times New Roman" w:hAnsi="Times New Roman"/>
          <w:b/>
          <w:i w:val="false"/>
          <w:color w:val="000000"/>
          <w:sz w:val="22"/>
        </w:rPr>
        <w:t xml:space="preserve">Investigation of eligibility. </w:t>
      </w:r>
      <w:r>
        <w:rPr>
          <w:rFonts w:ascii="Times New Roman" w:hAnsi="Times New Roman"/>
          <w:b w:val="false"/>
          <w:i w:val="false"/>
          <w:color w:val="000000"/>
          <w:sz w:val="22"/>
        </w:rPr>
        <w:t xml:space="preserve">An applicant or member shall cooperate when the applicant’s or member’s case is selected by the department or the department of inspections, appeals, and licensing for verification of eligibility unless the investigation revolves solely around the circumstances of a person whose income and resources do not affect Medicaid eligibility. (More information is contained in </w:t>
      </w:r>
      <w:hyperlink r:id="rId392">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will serve as a basis for denial of an application or discontinuance of Medicaid unless the Medicaid eligibility is determined by SSA. Once a person’s eligibility is denied or discontinued for failure to cooperate, the person may reapply but will not be determined eligible until cooperation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441—75.30</w:t>
      </w:r>
      <w:r>
        <w:rPr>
          <w:rFonts w:ascii="Times New Roman" w:hAnsi="Times New Roman"/>
          <w:b w:val="false"/>
          <w:i w:val="false"/>
          <w:color w:val="000000"/>
          <w:sz w:val="22"/>
        </w:rPr>
        <w:t xml:space="preserve"> to </w:t>
      </w:r>
      <w:r>
        <w:rPr>
          <w:rFonts w:ascii="Times New Roman" w:hAnsi="Times New Roman"/>
          <w:b/>
          <w:i w:val="false"/>
          <w:color w:val="000000"/>
          <w:sz w:val="22"/>
        </w:rPr>
        <w:t>75.49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ELIGIBILITY FACTORS SPECIFIC TO FAMILY-RELATED COVERAGE GROUPS</w:t>
      </w:r>
    </w:p>
    <w:p>
      <w:pPr>
        <w:spacing w:before="0" w:after="0"/>
        <w:ind w:left="120"/>
        <w:jc w:val="both"/>
      </w:pPr>
      <w:r>
        <w:rPr>
          <w:rFonts w:ascii="Times New Roman" w:hAnsi="Times New Roman"/>
          <w:b/>
          <w:i w:val="false"/>
          <w:color w:val="000000"/>
          <w:sz w:val="22"/>
        </w:rPr>
        <w:t>441—75.50</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child. </w:t>
      </w:r>
      <w:r>
        <w:rPr>
          <w:rFonts w:ascii="Times New Roman" w:hAnsi="Times New Roman"/>
          <w:b w:val="false"/>
          <w:i w:val="false"/>
          <w:color w:val="000000"/>
          <w:sz w:val="22"/>
        </w:rPr>
        <w:t xml:space="preserve">A child must meet the requirements of this rule to be eligible for FMAP or the coverage groups specified in subrules </w:t>
      </w:r>
      <w:hyperlink r:id="rId393">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394">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39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75.50(1)</w:t>
      </w:r>
      <w:r>
        <w:rPr>
          <w:rFonts w:ascii="Times New Roman" w:hAnsi="Times New Roman"/>
          <w:b w:val="false"/>
          <w:i w:val="false"/>
          <w:color w:val="000000"/>
          <w:sz w:val="22"/>
        </w:rPr>
        <w:t> </w:t>
      </w:r>
      <w:r>
        <w:rPr>
          <w:rFonts w:ascii="Times New Roman" w:hAnsi="Times New Roman"/>
          <w:b w:val="false"/>
          <w:i/>
          <w:color w:val="000000"/>
          <w:sz w:val="22"/>
        </w:rPr>
        <w:t xml:space="preserve">Age and school attendance. </w:t>
      </w:r>
      <w:r>
        <w:rPr>
          <w:rFonts w:ascii="Times New Roman" w:hAnsi="Times New Roman"/>
          <w:b w:val="false"/>
          <w:i w:val="false"/>
          <w:color w:val="000000"/>
          <w:sz w:val="22"/>
        </w:rPr>
        <w:t>Medicaid will be available to a child under the age of 18 without regard to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the child’s eligibility will be determined pursuant to rule </w:t>
      </w:r>
      <w:hyperlink r:id="rId39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will also be available to a child aged 18 years who is a full-time student in a secondary school, or in the equivalent level of vocational or technical training, and who is reasonably expected to complete the program before reaching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will be considered attending school full-time when enrolled or accepted in a full-time (as certified by the school or institute attended) elementary, secondary or the equivalent level of vocational or technical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will also be considered to be in regular attendance in months when the child is not attending because of an official school or training program vacation, illness, convalescence, or family emergency. 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child’s education is temporarily interrupted pending adjustment of an education or training program, exemption will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75.50(2)</w:t>
      </w:r>
      <w:r>
        <w:rPr>
          <w:rFonts w:ascii="Times New Roman" w:hAnsi="Times New Roman"/>
          <w:b w:val="false"/>
          <w:i w:val="false"/>
          <w:color w:val="000000"/>
          <w:sz w:val="22"/>
        </w:rPr>
        <w:t> </w:t>
      </w:r>
      <w:r>
        <w:rPr>
          <w:rFonts w:ascii="Times New Roman" w:hAnsi="Times New Roman"/>
          <w:b w:val="false"/>
          <w:i/>
          <w:color w:val="000000"/>
          <w:sz w:val="22"/>
        </w:rPr>
        <w:t xml:space="preserve">Residing with a parent or other caretaker. </w:t>
      </w:r>
      <w:r>
        <w:rPr>
          <w:rFonts w:ascii="Times New Roman" w:hAnsi="Times New Roman"/>
          <w:b w:val="false"/>
          <w:i w:val="false"/>
          <w:color w:val="000000"/>
          <w:sz w:val="22"/>
        </w:rPr>
        <w:t xml:space="preserve">The child shall be living in the home of a parent or other caretaker as defined in rule </w:t>
      </w:r>
      <w:hyperlink r:id="rId39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The parent or other caretaker must meet the requirements of rule </w:t>
      </w:r>
      <w:hyperlink r:id="rId39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mother intends to place her child for adoption shortly after birth, the child will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parent or other caretaker implies the existence of a relationship involving an accepted responsibility on the part of the caretaker for the primary care of the child. A non-parental caretaker must attest to having primary responsibility for the child’s care pursuant to paragraph </w:t>
      </w:r>
      <w:hyperlink r:id="rId399">
        <w:r>
          <w:rPr>
            <w:rStyle w:val="Hyperlink"/>
            <w:rFonts w:ascii="Times New Roman" w:hAnsi="Times New Roman"/>
            <w:b w:val="false"/>
            <w:i w:val="false"/>
            <w:color w:val="000000"/>
            <w:sz w:val="22"/>
          </w:rPr>
          <w:t>75.51(2)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can receive Medicaid in one household only. In a joint custody situation, when a child lives in the home of one parent or other caretaker some of the time and also lives in the separate home of the other parent or another caretaker, who the child will be considered to be living with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specified in a court order or binding separation, divorce or custody agreement,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no such order, the parent or other caretaker with whom the child spends most nights will be considered the custodial parent or other caretaker. When a child spends equal amounts of time in the home of each parent and both parents apply for Medicaid for the child, the parents must decide which parent will continue with the application. Likewise, when a child spends equal amounts of time in the home of a parent and the home of another caretaker, the parent or other caretaker must decide which caretaker will continue with the application. If the parents, or the parent and other caretaker, cannot reach a decision, the department will make the determination based on the totality of the available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determination that a child is living with a parent or other caretaker, the Medicaid household size for each applicant or member is determined according to rule </w:t>
      </w:r>
      <w:hyperlink r:id="rId40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 for the purpose of determining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parents and caretakers.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75.51(1)</w:t>
      </w:r>
      <w:r>
        <w:rPr>
          <w:rFonts w:ascii="Times New Roman" w:hAnsi="Times New Roman"/>
          <w:b w:val="false"/>
          <w:i w:val="false"/>
          <w:color w:val="000000"/>
          <w:sz w:val="22"/>
        </w:rPr>
        <w:t> </w:t>
      </w:r>
      <w:r>
        <w:rPr>
          <w:rFonts w:ascii="Times New Roman" w:hAnsi="Times New Roman"/>
          <w:b w:val="false"/>
          <w:i/>
          <w:color w:val="000000"/>
          <w:sz w:val="22"/>
        </w:rPr>
        <w:t xml:space="preserve">FMAP and other requirements. </w:t>
      </w:r>
      <w:r>
        <w:rPr>
          <w:rFonts w:ascii="Times New Roman" w:hAnsi="Times New Roman"/>
          <w:b w:val="false"/>
          <w:i w:val="false"/>
          <w:color w:val="000000"/>
          <w:sz w:val="22"/>
        </w:rPr>
        <w:t xml:space="preserve">To be eligible for FMAP or the coverage groups specified in subrules </w:t>
      </w:r>
      <w:hyperlink r:id="rId401">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402">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403">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a parent or other caretaker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“parent” or “caretaker” in rule </w:t>
      </w:r>
      <w:hyperlink r:id="rId40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an eligible child as defined in rule </w:t>
      </w:r>
      <w:hyperlink r:id="rId405">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Satisfy the FMAP requirements specified in subrule </w:t>
      </w:r>
      <w:hyperlink r:id="rId406">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75.51(2)</w:t>
      </w:r>
      <w:r>
        <w:rPr>
          <w:rFonts w:ascii="Times New Roman" w:hAnsi="Times New Roman"/>
          <w:b w:val="false"/>
          <w:i w:val="false"/>
          <w:color w:val="000000"/>
          <w:sz w:val="22"/>
        </w:rPr>
        <w:t> </w:t>
      </w:r>
      <w:r>
        <w:rPr>
          <w:rFonts w:ascii="Times New Roman" w:hAnsi="Times New Roman"/>
          <w:b w:val="false"/>
          <w:i/>
          <w:color w:val="000000"/>
          <w:sz w:val="22"/>
        </w:rPr>
        <w:t xml:space="preserve">Assumes primary responsibility for care of child. </w:t>
      </w:r>
      <w:r>
        <w:rPr>
          <w:rFonts w:ascii="Times New Roman" w:hAnsi="Times New Roman"/>
          <w:b w:val="false"/>
          <w:i w:val="false"/>
          <w:color w:val="000000"/>
          <w:sz w:val="22"/>
        </w:rPr>
        <w:t>To be eligible for FMAP, the parent or other caretaker living in the home with the child must assume primary responsibility for the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living with their child is presumed to have primary responsibility for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and a non-parental caretaker to meet the requirements of this subrule, the non-parental caretaker who is living with the child must attest to having primary responsibility for the child’s care on an application or other document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441—75.52</w:t>
      </w:r>
      <w:r>
        <w:rPr>
          <w:rFonts w:ascii="Times New Roman" w:hAnsi="Times New Roman"/>
          <w:b/>
          <w:i w:val="false"/>
          <w:color w:val="000000"/>
          <w:sz w:val="22"/>
        </w:rPr>
        <w:t xml:space="preserve">(249A) </w:t>
      </w:r>
      <w:r>
        <w:rPr>
          <w:rFonts w:ascii="Times New Roman" w:hAnsi="Times New Roman"/>
          <w:b/>
          <w:i w:val="false"/>
          <w:color w:val="000000"/>
          <w:sz w:val="22"/>
        </w:rPr>
        <w:t xml:space="preserve">The effect of age on eligibility. </w:t>
      </w:r>
      <w:r>
        <w:rPr>
          <w:rFonts w:ascii="Times New Roman" w:hAnsi="Times New Roman"/>
          <w:b w:val="false"/>
          <w:i w:val="false"/>
          <w:color w:val="000000"/>
          <w:sz w:val="22"/>
        </w:rPr>
        <w:t>When age is an eligibility factor and a person has reached the age limit, the birth date impacts eligibility for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75.52(1)</w:t>
      </w:r>
      <w:r>
        <w:rPr>
          <w:rFonts w:ascii="Times New Roman" w:hAnsi="Times New Roman"/>
          <w:b w:val="false"/>
          <w:i w:val="false"/>
          <w:color w:val="000000"/>
          <w:sz w:val="22"/>
        </w:rPr>
        <w:t> </w:t>
      </w:r>
      <w:r>
        <w:rPr>
          <w:rFonts w:ascii="Times New Roman" w:hAnsi="Times New Roman"/>
          <w:b w:val="false"/>
          <w:i w:val="false"/>
          <w:color w:val="000000"/>
          <w:sz w:val="22"/>
        </w:rPr>
        <w:t>A person is eligible for the entire month in which the person’s birth date occurs, unless the birthday falls on the first day of the month. Ineligibility based on age will be effective the first of the month following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75.52(2)</w:t>
      </w:r>
      <w:r>
        <w:rPr>
          <w:rFonts w:ascii="Times New Roman" w:hAnsi="Times New Roman"/>
          <w:b w:val="false"/>
          <w:i w:val="false"/>
          <w:color w:val="000000"/>
          <w:sz w:val="22"/>
        </w:rPr>
        <w:t> </w:t>
      </w:r>
      <w:r>
        <w:rPr>
          <w:rFonts w:ascii="Times New Roman" w:hAnsi="Times New Roman"/>
          <w:b w:val="false"/>
          <w:i w:val="false"/>
          <w:color w:val="000000"/>
          <w:sz w:val="22"/>
        </w:rPr>
        <w:t>A person whose birth date is on the first day of the month is not eligible for the age-limited coverage group for the birth month. Ineligibility based on age will be effective on the person’s 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75.52(3)</w:t>
      </w:r>
      <w:r>
        <w:rPr>
          <w:rFonts w:ascii="Times New Roman" w:hAnsi="Times New Roman"/>
          <w:b w:val="false"/>
          <w:i w:val="false"/>
          <w:color w:val="000000"/>
          <w:sz w:val="22"/>
        </w:rPr>
        <w:t> </w:t>
      </w:r>
      <w:r>
        <w:rPr>
          <w:rFonts w:ascii="Times New Roman" w:hAnsi="Times New Roman"/>
          <w:b w:val="false"/>
          <w:i w:val="false"/>
          <w:color w:val="000000"/>
          <w:sz w:val="22"/>
        </w:rPr>
        <w:t>This rule applies to the following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medical assistance program (CMAP);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Subsidized guardianship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 eligible under Title 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foster care or subsidized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subsidized guardianship;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Medicaid for former foster care youth (EMIYA).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441—75.53</w:t>
      </w:r>
      <w:r>
        <w:rPr>
          <w:rFonts w:ascii="Times New Roman" w:hAnsi="Times New Roman"/>
          <w:b/>
          <w:i w:val="false"/>
          <w:color w:val="000000"/>
          <w:sz w:val="22"/>
        </w:rPr>
        <w:t xml:space="preserve">(249A) </w:t>
      </w:r>
      <w:r>
        <w:rPr>
          <w:rFonts w:ascii="Times New Roman" w:hAnsi="Times New Roman"/>
          <w:b/>
          <w:i w:val="false"/>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absent from the home will not be included in the household, except when temporarily absent as described in subrule </w:t>
      </w:r>
      <w:hyperlink r:id="rId407">
        <w:r>
          <w:rPr>
            <w:rStyle w:val="Hyperlink"/>
            <w:rFonts w:ascii="Times New Roman" w:hAnsi="Times New Roman"/>
            <w:b w:val="false"/>
            <w:i w:val="false"/>
            <w:color w:val="000000"/>
            <w:sz w:val="22"/>
          </w:rPr>
          <w:t>75.53(2)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is occasioned solely by reason of the performance of active duty in the uniformed services of the United States is considered absent from the home.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75.53(2)</w:t>
      </w:r>
      <w:r>
        <w:rPr>
          <w:rFonts w:ascii="Times New Roman" w:hAnsi="Times New Roman"/>
          <w:b w:val="false"/>
          <w:i w:val="false"/>
          <w:color w:val="000000"/>
          <w:sz w:val="22"/>
        </w:rPr>
        <w:t> </w:t>
      </w:r>
      <w:r>
        <w:rPr>
          <w:rFonts w:ascii="Times New Roman" w:hAnsi="Times New Roman"/>
          <w:b w:val="false"/>
          <w:i w:val="false"/>
          <w:color w:val="000000"/>
          <w:sz w:val="22"/>
        </w:rPr>
        <w:t>The needs of a person who is temporarily absent from the home are included in a household if otherwise eligible. A temporary absence exists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anticipated to be in a medical institution for less than a year, as verified by a physician’s statement. Failure to return within one year from the date of entry into the medical institution will result in the person no longer being included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is out of the home to secure education or training as defined in paragraph </w:t>
      </w:r>
      <w:hyperlink r:id="rId408">
        <w:r>
          <w:rPr>
            <w:rStyle w:val="Hyperlink"/>
            <w:rFonts w:ascii="Times New Roman" w:hAnsi="Times New Roman"/>
            <w:b w:val="false"/>
            <w:i w:val="false"/>
            <w:color w:val="000000"/>
            <w:sz w:val="22"/>
          </w:rPr>
          <w:t>75.50(1)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long as the child remains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is temporarily out of the home to secure education or training and was in the household before leaving the home to secure education or training. For this purpose, “education or training” means any academic or vocational training program that prepares a person for a specific professional or vocational area of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out of the home for reasons other than reasons in paragraphs </w:t>
      </w:r>
      <w:hyperlink r:id="rId409">
        <w:r>
          <w:rPr>
            <w:rStyle w:val="Hyperlink"/>
            <w:rFonts w:ascii="Times New Roman" w:hAnsi="Times New Roman"/>
            <w:b w:val="false"/>
            <w:i w:val="false"/>
            <w:color w:val="000000"/>
            <w:sz w:val="22"/>
          </w:rPr>
          <w:t>75.53(2)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and intends to return to the home within three months. Failure to return within three months from the date the person left the home will result in the person no longer being included in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441—75.54</w:t>
      </w:r>
      <w:r>
        <w:rPr>
          <w:rFonts w:ascii="Times New Roman" w:hAnsi="Times New Roman"/>
          <w:b/>
          <w:i w:val="false"/>
          <w:color w:val="000000"/>
          <w:sz w:val="22"/>
        </w:rPr>
        <w:t xml:space="preserve">(249A) </w:t>
      </w:r>
      <w:r>
        <w:rPr>
          <w:rFonts w:ascii="Times New Roman" w:hAnsi="Times New Roman"/>
          <w:b/>
          <w:i w:val="false"/>
          <w:color w:val="000000"/>
          <w:sz w:val="22"/>
        </w:rPr>
        <w:t xml:space="preserve">Pending SSI approval. </w:t>
      </w:r>
      <w:r>
        <w:rPr>
          <w:rFonts w:ascii="Times New Roman" w:hAnsi="Times New Roman"/>
          <w:b w:val="false"/>
          <w:i w:val="false"/>
          <w:color w:val="000000"/>
          <w:sz w:val="22"/>
        </w:rPr>
        <w:t>When a person who would ordinarily be in the family-related Medicaid household has applied for SSI benefits, the person’s needs will be included in the family-related Medicaid household pending approval of SSI.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441—75.55</w:t>
      </w:r>
      <w:r>
        <w:rPr>
          <w:rFonts w:ascii="Times New Roman" w:hAnsi="Times New Roman"/>
          <w:b/>
          <w:i w:val="false"/>
          <w:color w:val="000000"/>
          <w:sz w:val="22"/>
        </w:rPr>
        <w:t xml:space="preserve">(249A) </w:t>
      </w:r>
      <w:r>
        <w:rPr>
          <w:rFonts w:ascii="Times New Roman" w:hAnsi="Times New Roman"/>
          <w:b/>
          <w:i w:val="false"/>
          <w:color w:val="000000"/>
          <w:sz w:val="22"/>
        </w:rPr>
        <w:t xml:space="preserve">Resources not considered. </w:t>
      </w:r>
      <w:r>
        <w:rPr>
          <w:rFonts w:ascii="Times New Roman" w:hAnsi="Times New Roman"/>
          <w:b w:val="false"/>
          <w:i w:val="false"/>
          <w:color w:val="000000"/>
          <w:sz w:val="22"/>
        </w:rPr>
        <w:t>There is no resource test to determine eligibility for family-related Medicaid coverage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441—75.56</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eligibility. </w:t>
      </w:r>
      <w:r>
        <w:rPr>
          <w:rFonts w:ascii="Times New Roman" w:hAnsi="Times New Roman"/>
          <w:b w:val="false"/>
          <w:i w:val="false"/>
          <w:color w:val="000000"/>
          <w:sz w:val="22"/>
        </w:rPr>
        <w:t>Unless otherwise stated within this chapter, income eligibility under family-related coverage groups will be determined using MAGI methodologies pursuant to Division 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441—75.57</w:t>
      </w:r>
      <w:r>
        <w:rPr>
          <w:rFonts w:ascii="Times New Roman" w:hAnsi="Times New Roman"/>
          <w:b w:val="false"/>
          <w:i w:val="false"/>
          <w:color w:val="000000"/>
          <w:sz w:val="22"/>
        </w:rPr>
        <w:t xml:space="preserve"> to </w:t>
      </w:r>
      <w:r>
        <w:rPr>
          <w:rFonts w:ascii="Times New Roman" w:hAnsi="Times New Roman"/>
          <w:b/>
          <w:i w:val="false"/>
          <w:color w:val="000000"/>
          <w:sz w:val="22"/>
        </w:rPr>
        <w:t>75.69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ELIGIBILITY BASED ON MODIFIED ADJUSTED GROSS INCOME (MAGI)</w:t>
      </w:r>
    </w:p>
    <w:p>
      <w:pPr>
        <w:spacing w:before="0" w:after="0"/>
        <w:ind w:left="120"/>
        <w:jc w:val="both"/>
      </w:pPr>
      <w:r>
        <w:rPr>
          <w:rFonts w:ascii="Times New Roman" w:hAnsi="Times New Roman"/>
          <w:b/>
          <w:i w:val="false"/>
          <w:color w:val="000000"/>
          <w:sz w:val="22"/>
        </w:rPr>
        <w:t>441—75.70</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eligibility based on MAGI. </w:t>
      </w:r>
      <w:r>
        <w:rPr>
          <w:rFonts w:ascii="Times New Roman" w:hAnsi="Times New Roman"/>
          <w:b w:val="false"/>
          <w:i w:val="false"/>
          <w:color w:val="000000"/>
          <w:sz w:val="22"/>
        </w:rPr>
        <w:t xml:space="preserve">Notwithstanding any other provision of this chapter, financial eligibility for Medicaid is determined using MAGI and household income pursuant to </w:t>
      </w:r>
      <w:r>
        <w:rPr>
          <w:rFonts w:ascii="Times New Roman" w:hAnsi="Times New Roman"/>
          <w:b w:val="false"/>
          <w:i w:val="false"/>
          <w:color w:val="000000"/>
          <w:sz w:val="22"/>
        </w:rPr>
        <w:t>42 U.S.C. §1396a</w:t>
      </w:r>
      <w:r>
        <w:rPr>
          <w:rFonts w:ascii="Times New Roman" w:hAnsi="Times New Roman"/>
          <w:b w:val="false"/>
          <w:i w:val="false"/>
          <w:color w:val="000000"/>
          <w:sz w:val="22"/>
        </w:rPr>
        <w:t xml:space="preserve">(e)(14) to the extent required by that section as a condition of federal funding under Title XIX of the Act. For this purpose, financial eligibility for Medicaid includes any applicable purpose for which a determination of income is required for a coverage group that is subject to MAGI methodology as specified in rule </w:t>
      </w:r>
      <w:hyperlink r:id="rId410">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and defined in rule </w:t>
      </w:r>
      <w:hyperlink r:id="rId41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including the imposition of any premiums or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441—75.71</w:t>
      </w:r>
      <w:r>
        <w:rPr>
          <w:rFonts w:ascii="Times New Roman" w:hAnsi="Times New Roman"/>
          <w:b/>
          <w:i w:val="false"/>
          <w:color w:val="000000"/>
          <w:sz w:val="22"/>
        </w:rPr>
        <w:t xml:space="preserve">(249A) </w:t>
      </w:r>
      <w:r>
        <w:rPr>
          <w:rFonts w:ascii="Times New Roman" w:hAnsi="Times New Roman"/>
          <w:b/>
          <w:i w:val="false"/>
          <w:color w:val="000000"/>
          <w:sz w:val="22"/>
        </w:rPr>
        <w:t xml:space="preserve">Coverage groups subject to MAGI methodology. </w:t>
      </w:r>
      <w:r>
        <w:rPr>
          <w:rFonts w:ascii="Times New Roman" w:hAnsi="Times New Roman"/>
          <w:b w:val="false"/>
          <w:i w:val="false"/>
          <w:color w:val="000000"/>
          <w:sz w:val="22"/>
        </w:rPr>
        <w:t>Financial eligibility will be determined under MAGI methodology for the following coverage groups: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FMAP as described in subrule </w:t>
      </w:r>
      <w:hyperlink r:id="rId412">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MAC program as described in subrule </w:t>
      </w:r>
      <w:hyperlink r:id="rId413">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Hawki as described in </w:t>
      </w:r>
      <w:hyperlink r:id="rId414">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IHAWP as described in </w:t>
      </w:r>
      <w:hyperlink r:id="rId415">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RMA as described in subrule </w:t>
      </w:r>
      <w:hyperlink r:id="rId416">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441—75.72</w:t>
      </w:r>
      <w:r>
        <w:rPr>
          <w:rFonts w:ascii="Times New Roman" w:hAnsi="Times New Roman"/>
          <w:b/>
          <w:i w:val="false"/>
          <w:color w:val="000000"/>
          <w:sz w:val="22"/>
        </w:rPr>
        <w:t xml:space="preserve">(249A) </w:t>
      </w:r>
      <w:r>
        <w:rPr>
          <w:rFonts w:ascii="Times New Roman" w:hAnsi="Times New Roman"/>
          <w:b/>
          <w:i w:val="false"/>
          <w:color w:val="000000"/>
          <w:sz w:val="22"/>
        </w:rPr>
        <w:t xml:space="preserve">MAGI household composition. </w:t>
      </w:r>
      <w:r>
        <w:rPr>
          <w:rFonts w:ascii="Times New Roman" w:hAnsi="Times New Roman"/>
          <w:b w:val="false"/>
          <w:i w:val="false"/>
          <w:color w:val="000000"/>
          <w:sz w:val="22"/>
        </w:rPr>
        <w:t>For the purpose of determining financial eligibility, each applicant’s or member’s household is determined based on federal tax policy and with regard to the applicant’s or member’s federal tax status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75.72(1)</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tax-filer. </w:t>
      </w:r>
      <w:r>
        <w:rPr>
          <w:rFonts w:ascii="Times New Roman" w:hAnsi="Times New Roman"/>
          <w:b w:val="false"/>
          <w:i w:val="false"/>
          <w:color w:val="000000"/>
          <w:sz w:val="22"/>
        </w:rPr>
        <w:t>An applicant or member who expects to file a federal tax return for the year in which the applicant or member requests Medicaid and does not expect to be claimed as a tax dependent by another taxpayer is considered a tax-filer. A tax-filer’s Medicaid household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tax-filer’s spouse,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tax-filer and spouse are living together,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tax status is married filing jointly, regardless of whether the spouse is present in the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dependent that the tax-filer expects to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75.72(2)</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 dependent. </w:t>
      </w:r>
      <w:r>
        <w:rPr>
          <w:rFonts w:ascii="Times New Roman" w:hAnsi="Times New Roman"/>
          <w:b w:val="false"/>
          <w:i w:val="false"/>
          <w:color w:val="000000"/>
          <w:sz w:val="22"/>
        </w:rPr>
        <w:t xml:space="preserve">An applicant or member who expects to be claimed as a tax dependent on a federal tax return for the year in which the applicant or member requests Medicaid is a tax dependent. A tax dependent’s Medicaid household is the same as the tax-filer who claims the dependent, except the dependent’s household is determined pursuant to subrule </w:t>
      </w:r>
      <w:hyperlink r:id="rId417">
        <w:r>
          <w:rPr>
            <w:rStyle w:val="Hyperlink"/>
            <w:rFonts w:ascii="Times New Roman" w:hAnsi="Times New Roman"/>
            <w:b w:val="false"/>
            <w:i w:val="false"/>
            <w:color w:val="000000"/>
            <w:sz w:val="22"/>
          </w:rPr>
          <w:t>75.72(3)</w:t>
        </w:r>
      </w:hyperlink>
      <w:r>
        <w:rPr>
          <w:rFonts w:ascii="Times New Roman" w:hAnsi="Times New Roman"/>
          <w:b w:val="false"/>
          <w:i w:val="false"/>
          <w:color w:val="000000"/>
          <w:sz w:val="22"/>
        </w:rPr>
        <w:t xml:space="preserve"> when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Expects to be claimed by someone other than a spouse 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child under the age of 19 who expects to be claimed by one parent while living with two parents who do not expect to file a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 child under the age of 19 who expects to be claimed by a noncustodial parent in accordance with a court order or binding separation, divorce, or custody agreement establishing physical custody controls. If there is no such order or agreement, the custodial parent is the parent with whom the child spends most nights pursuant to subparagraph </w:t>
      </w:r>
      <w:hyperlink r:id="rId418">
        <w:r>
          <w:rPr>
            <w:rStyle w:val="Hyperlink"/>
            <w:rFonts w:ascii="Times New Roman" w:hAnsi="Times New Roman"/>
            <w:b w:val="false"/>
            <w:i w:val="false"/>
            <w:color w:val="000000"/>
            <w:sz w:val="22"/>
          </w:rPr>
          <w:t>75.50(2)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75.72(3)</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non-filer (does not file taxes) and is not claimed as a tax dependent.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to an applicant or member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expect to file a federal tax return for the year in which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expect to be claimed as a tax dependent for the year in which Medicaid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an exception described in paragraph </w:t>
      </w:r>
      <w:hyperlink r:id="rId419">
        <w:r>
          <w:rPr>
            <w:rStyle w:val="Hyperlink"/>
            <w:rFonts w:ascii="Times New Roman" w:hAnsi="Times New Roman"/>
            <w:b w:val="false"/>
            <w:i w:val="false"/>
            <w:color w:val="000000"/>
            <w:sz w:val="22"/>
          </w:rPr>
          <w:t>75.72(2)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household consists of the applicant or member and each of the following who is living with and in relation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Parent,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under the age of 19,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paragraph </w:t>
      </w:r>
      <w:hyperlink r:id="rId420">
        <w:r>
          <w:rPr>
            <w:rStyle w:val="Hyperlink"/>
            <w:rFonts w:ascii="Times New Roman" w:hAnsi="Times New Roman"/>
            <w:b w:val="false"/>
            <w:i w:val="false"/>
            <w:color w:val="000000"/>
            <w:sz w:val="22"/>
          </w:rPr>
          <w:t>75.72(3)</w:t>
        </w:r>
      </w:hyperlink>
      <w:r>
        <w:rPr>
          <w:rFonts w:ascii="Times New Roman" w:hAnsi="Times New Roman"/>
          <w:b w:val="false"/>
          <w:i/>
          <w:color w:val="000000"/>
          <w:sz w:val="22"/>
        </w:rPr>
        <w:t>“b,”</w:t>
      </w:r>
      <w:r>
        <w:rPr>
          <w:rFonts w:ascii="Times New Roman" w:hAnsi="Times New Roman"/>
          <w:b w:val="false"/>
          <w:i w:val="false"/>
          <w:color w:val="000000"/>
          <w:sz w:val="22"/>
        </w:rPr>
        <w:t xml:space="preserve"> “living with” must be in accordance with subrule </w:t>
      </w:r>
      <w:hyperlink r:id="rId42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75.72(4)</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r>
        <w:rPr>
          <w:rFonts w:ascii="Times New Roman" w:hAnsi="Times New Roman"/>
          <w:b w:val="false"/>
          <w:i w:val="false"/>
          <w:color w:val="000000"/>
          <w:sz w:val="22"/>
        </w:rPr>
        <w:t>In the case of a married couple living together, each spouse will be included in the household of the other spouse, regardless of federal tax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75.72(5)</w:t>
      </w:r>
      <w:r>
        <w:rPr>
          <w:rFonts w:ascii="Times New Roman" w:hAnsi="Times New Roman"/>
          <w:b w:val="false"/>
          <w:i w:val="false"/>
          <w:color w:val="000000"/>
          <w:sz w:val="22"/>
        </w:rPr>
        <w:t> </w:t>
      </w:r>
      <w:r>
        <w:rPr>
          <w:rFonts w:ascii="Times New Roman" w:hAnsi="Times New Roman"/>
          <w:b w:val="false"/>
          <w:i/>
          <w:color w:val="000000"/>
          <w:sz w:val="22"/>
        </w:rPr>
        <w:t xml:space="preserve">Pregnancy.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In establishing eligibility for a pregnant woman or any person whose household includes a pregnant woman, the unborn child (or children if more than one fetus exists) will be considered when determining the number of persons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pregnancy. </w:t>
      </w:r>
      <w:r>
        <w:rPr>
          <w:rFonts w:ascii="Times New Roman" w:hAnsi="Times New Roman"/>
          <w:b w:val="false"/>
          <w:i w:val="false"/>
          <w:color w:val="000000"/>
          <w:sz w:val="22"/>
        </w:rPr>
        <w:t>The applicant’s or member’s attestation of the pregnancy, date of conception, due date, and number of children expected to deliver will serve as verification unless questionable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75.72(6)</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attestation of federal tax status. </w:t>
      </w:r>
      <w:r>
        <w:rPr>
          <w:rFonts w:ascii="Times New Roman" w:hAnsi="Times New Roman"/>
          <w:b w:val="false"/>
          <w:i w:val="false"/>
          <w:color w:val="000000"/>
          <w:sz w:val="22"/>
        </w:rPr>
        <w:t>The department will accept the applicant’s or member’s statement of the applicant’s or member’s federal tax status and claimed dependents or such statement from an adult who is living with and in the Medicaid household of an applicant or member who is a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441—75.73</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under MAGI methodology. </w:t>
      </w:r>
      <w:r>
        <w:rPr>
          <w:rFonts w:ascii="Times New Roman" w:hAnsi="Times New Roman"/>
          <w:b w:val="false"/>
          <w:i w:val="false"/>
          <w:color w:val="000000"/>
          <w:sz w:val="22"/>
        </w:rPr>
        <w:t xml:space="preserve">The total countable earned and unearned income of the applicant or member included in the household as defined in rule </w:t>
      </w:r>
      <w:hyperlink r:id="rId422">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 xml:space="preserve">(249A) will be considered when determining initial and ongoing Medicaid eligibility for coverage groups that are subject to MAGI methodology as specified in rule </w:t>
      </w:r>
      <w:hyperlink r:id="rId423">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For eligibility to exist, the total countable monthly income of the applicant’s or member’s household must be at or below the income limit for the applicable coverage group pursuant to rule </w:t>
      </w:r>
      <w:hyperlink r:id="rId42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75.73(1)</w:t>
      </w:r>
      <w:r>
        <w:rPr>
          <w:rFonts w:ascii="Times New Roman" w:hAnsi="Times New Roman"/>
          <w:b w:val="false"/>
          <w:i w:val="false"/>
          <w:color w:val="000000"/>
          <w:sz w:val="22"/>
        </w:rPr>
        <w:t> </w:t>
      </w:r>
      <w:r>
        <w:rPr>
          <w:rFonts w:ascii="Times New Roman" w:hAnsi="Times New Roman"/>
          <w:b w:val="false"/>
          <w:i/>
          <w:color w:val="000000"/>
          <w:sz w:val="22"/>
        </w:rPr>
        <w:t xml:space="preserve">Household member income exclusions under MAGI. </w:t>
      </w:r>
      <w:r>
        <w:rPr>
          <w:rFonts w:ascii="Times New Roman" w:hAnsi="Times New Roman"/>
          <w:b w:val="false"/>
          <w:i w:val="false"/>
          <w:color w:val="000000"/>
          <w:sz w:val="22"/>
        </w:rPr>
        <w:t xml:space="preserve">The income of a household member that meets the requirements of paragraph </w:t>
      </w:r>
      <w:hyperlink r:id="rId425">
        <w:r>
          <w:rPr>
            <w:rStyle w:val="Hyperlink"/>
            <w:rFonts w:ascii="Times New Roman" w:hAnsi="Times New Roman"/>
            <w:b w:val="false"/>
            <w:i w:val="false"/>
            <w:color w:val="000000"/>
            <w:sz w:val="22"/>
          </w:rPr>
          <w:t>75.73(1)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is excluded from the household’s total countable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children under age 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a child under the age of 19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Included in the household of the child’s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regardless of whether a tax return is filed by the child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of tax dependent other than spouse or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a tax dependent other than a spouse or a child who is 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is not included, regardless of whether a tax return is filed by the tax dependent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dependent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cash support provided to the claimed dependent by 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75.73(2)</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under MAGI. </w:t>
      </w:r>
      <w:r>
        <w:rPr>
          <w:rFonts w:ascii="Times New Roman" w:hAnsi="Times New Roman"/>
          <w:b w:val="false"/>
          <w:i w:val="false"/>
          <w:color w:val="000000"/>
          <w:sz w:val="22"/>
        </w:rPr>
        <w:t xml:space="preserve">For the purpose of determining initial and ongoing MAGI Medicaid eligibility, countable income is the amount that remains after allowable expenses and deductions have been subtracted from gross countable income as defined in paragraph </w:t>
      </w:r>
      <w:hyperlink r:id="rId426">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Income described in paragraph </w:t>
      </w:r>
      <w:hyperlink r:id="rId427">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excluded as countable income. Allowable expenses and deductions are limited to those allowed in accordance with paragraphs </w:t>
      </w:r>
      <w:hyperlink r:id="rId428">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countable income. </w:t>
      </w:r>
      <w:r>
        <w:rPr>
          <w:rFonts w:ascii="Times New Roman" w:hAnsi="Times New Roman"/>
          <w:b w:val="false"/>
          <w:i w:val="false"/>
          <w:color w:val="000000"/>
          <w:sz w:val="22"/>
        </w:rPr>
        <w:t xml:space="preserve">Gross countable income under MAGI includes income types that are considered as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61 and 71 through 91 and calculated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36B(d)(2)(B), except as specified in paragraph </w:t>
      </w:r>
      <w:hyperlink r:id="rId429">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Gross countable income for the purpose of Medicaid eligibility under MAGI includes but is not limited to the following income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including salaries, wages, tips and other compensation for services that include fees, commissions, fringe benefits such as sick pay, vacation pay, severance pay, and similar items, and including foreign earned income and housing expenses of a U.S. citizen or resident who lives abroad even though these types of income may not be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profit derived from a self-employment trade or business as defined in paragraph </w:t>
      </w:r>
      <w:hyperlink r:id="rId430">
        <w:r>
          <w:rPr>
            <w:rStyle w:val="Hyperlink"/>
            <w:rFonts w:ascii="Times New Roman" w:hAnsi="Times New Roman"/>
            <w:b w:val="false"/>
            <w:i w:val="false"/>
            <w:color w:val="000000"/>
            <w:sz w:val="22"/>
          </w:rPr>
          <w:t>75.73(2)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1402;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Capital gains derived from dealings in assets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Rental income, including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Taxable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Alimony and separate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Taxable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from life insurance and endowment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from discharge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Distributive share of partnership or S-corporation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Income in respect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Income from an interest in an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Deemed sponsor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Social security benefits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Disability payments, including government, private, temporary and permanent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 (UIB);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Gambling winnings;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Survivor’s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Strike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types excluded from gross income. </w:t>
      </w:r>
      <w:r>
        <w:rPr>
          <w:rFonts w:ascii="Times New Roman" w:hAnsi="Times New Roman"/>
          <w:b w:val="false"/>
          <w:i w:val="false"/>
          <w:color w:val="000000"/>
          <w:sz w:val="22"/>
        </w:rPr>
        <w:t>Income that meets the following criteria is not considered when determining countable gross income under MAGI despite the fact that the income may be considered for federal tax purposes. The exclusion of these income types is in accordance with 42 CFR Section 435.603(e).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received as a nonrecurring lump sum from a source that is considered in determining adjusted gross income for federal tax purposes pursuant to paragraph </w:t>
      </w:r>
      <w:hyperlink r:id="rId431">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counted only in the month received for determining Medicaid eligibility under MAGI. A nonrecurring lump sum received from a source that is not considered in determining adjusted gross income for federal tax purposes is entirely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Scholarships, awards, or fellowship grants used for education purposes and not for living expenses are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American Indian and Alaska Native income derived from distributions, payments, ownership interests, real property usage rights, and student financial assistance pursuant to 42 CFR Section 435.603(e)(3)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Student financial assistance provided under the Bureau of Indian Affairs education programs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type of income that is not identified as countable in paragraph </w:t>
      </w:r>
      <w:hyperlink r:id="rId432">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is not otherwise included in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Allowable expenses. </w:t>
      </w:r>
      <w:r>
        <w:rPr>
          <w:rFonts w:ascii="Times New Roman" w:hAnsi="Times New Roman"/>
          <w:b w:val="false"/>
          <w:i w:val="false"/>
          <w:color w:val="000000"/>
          <w:sz w:val="22"/>
        </w:rPr>
        <w:t xml:space="preserve">Expenses that are allowed as deductions from gross income when determining a person’s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are subtracted from gross income as defined in paragraphs </w:t>
      </w:r>
      <w:hyperlink r:id="rId433">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when determining countable income under MAGI. Allowable expenses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Educator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Certain business expenses of reservists, performing artists, and fee-based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savings account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Moving expenses for members of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Deductible part of self-employment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to self-employed Simplified Employee Pension (SEP), Savings Incentive Match Plan for Employees of Small Employers (SIMPLE) and Qualified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Self-employed health insurance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 of penalty for early withdrawal of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Alimony payments made under a divorce or separation agreement executed before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Certain individual retirement account (IRA)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Student loan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Expenses directly related with the conduct of a self-employment trade or business, including but not limited to depreciation and capital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MAGI Income Deduction. </w:t>
      </w:r>
      <w:r>
        <w:rPr>
          <w:rFonts w:ascii="Times New Roman" w:hAnsi="Times New Roman"/>
          <w:b w:val="false"/>
          <w:i w:val="false"/>
          <w:color w:val="000000"/>
          <w:sz w:val="22"/>
        </w:rPr>
        <w:t>An amount equal to 5 percent of the FPL for the applicable household size will be subtracted from the total monthly countable MAGI income amount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applicant’s monthly MAGI income exceeds the highest income limit of all of the coverage groups for which the applicant meets the categorical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Deducting 5 percent results in the applicant’s income being within the income limit of the coverage group with the highest income limit for which the applicant meets categorical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defined for MAGI purposes. </w:t>
      </w:r>
      <w:r>
        <w:rPr>
          <w:rFonts w:ascii="Times New Roman" w:hAnsi="Times New Roman"/>
          <w:b w:val="false"/>
          <w:i w:val="false"/>
          <w:color w:val="000000"/>
          <w:sz w:val="22"/>
        </w:rPr>
        <w:t>A person is considered self-employed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Carries on a trade or business with the goal of making a profit and is the sole proprietor of the trade or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an independent contractor and the person paying for the work has the right to control or to direct only the result of the work and not how the work will be done.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75.73(3)</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department will accept an applicant’s or member’s attestation of income and use the attested income to determine eligibility when the attested amount is reasonably compatible with electronic data sources as defined in rule </w:t>
      </w:r>
      <w:hyperlink r:id="rId43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Verification not required. </w:t>
      </w:r>
      <w:r>
        <w:rPr>
          <w:rFonts w:ascii="Times New Roman" w:hAnsi="Times New Roman"/>
          <w:b w:val="false"/>
          <w:i w:val="false"/>
          <w:color w:val="000000"/>
          <w:sz w:val="22"/>
        </w:rPr>
        <w:t>The department will not require the applicant or member to provide verification when attested income is reasonably compatible with EDS or verification is available to the department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required. </w:t>
      </w:r>
      <w:r>
        <w:rPr>
          <w:rFonts w:ascii="Times New Roman" w:hAnsi="Times New Roman"/>
          <w:b w:val="false"/>
          <w:i w:val="false"/>
          <w:color w:val="000000"/>
          <w:sz w:val="22"/>
        </w:rPr>
        <w:t xml:space="preserve">When attested income is not reasonably compatible with EDS or verification is not available to the department from other sources, the applicant or member must provide verification of the income in accordance with </w:t>
      </w:r>
      <w:hyperlink r:id="rId435">
        <w:r>
          <w:rPr>
            <w:rStyle w:val="Hyperlink"/>
            <w:rFonts w:ascii="Times New Roman" w:hAnsi="Times New Roman"/>
            <w:b w:val="false"/>
            <w:i w:val="false"/>
            <w:color w:val="000000"/>
            <w:sz w:val="22"/>
          </w:rPr>
          <w:t>441—subrule 76.8(2)</w:t>
        </w:r>
      </w:hyperlink>
      <w:r>
        <w:rPr>
          <w:rFonts w:ascii="Times New Roman" w:hAnsi="Times New Roman"/>
          <w:b w:val="false"/>
          <w:i w:val="false"/>
          <w:color w:val="000000"/>
          <w:sz w:val="22"/>
        </w:rPr>
        <w:t xml:space="preserve"> or provide a statement that reasonably explains the discrepancy between the attested income and electronic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75.73(4)</w:t>
      </w:r>
      <w:r>
        <w:rPr>
          <w:rFonts w:ascii="Times New Roman" w:hAnsi="Times New Roman"/>
          <w:b w:val="false"/>
          <w:i w:val="false"/>
          <w:color w:val="000000"/>
          <w:sz w:val="22"/>
        </w:rPr>
        <w:t> </w:t>
      </w:r>
      <w:r>
        <w:rPr>
          <w:rFonts w:ascii="Times New Roman" w:hAnsi="Times New Roman"/>
          <w:b w:val="false"/>
          <w:i/>
          <w:color w:val="000000"/>
          <w:sz w:val="22"/>
        </w:rPr>
        <w:t xml:space="preserve">Budgeting procedures for determining financial eligibility under MAGI. </w:t>
      </w:r>
      <w:r>
        <w:rPr>
          <w:rFonts w:ascii="Times New Roman" w:hAnsi="Times New Roman"/>
          <w:b w:val="false"/>
          <w:i w:val="false"/>
          <w:color w:val="000000"/>
          <w:sz w:val="22"/>
        </w:rPr>
        <w:t xml:space="preserve">Initial and ongoing financial eligibility under MAGI is based on current monthly household composition and income with consideration given to any anticipated changes or fluctuation in income or expenses pursuant to 42 CFR Section 435.603(h). Total countable earned and unearned income of all persons in the applicant or member household after applicable expenses and deductions is considered in determining financial eligibility under MAGI in accordance with subrules </w:t>
      </w:r>
      <w:hyperlink r:id="rId436">
        <w:r>
          <w:rPr>
            <w:rStyle w:val="Hyperlink"/>
            <w:rFonts w:ascii="Times New Roman" w:hAnsi="Times New Roman"/>
            <w:b w:val="false"/>
            <w:i w:val="false"/>
            <w:color w:val="000000"/>
            <w:sz w:val="22"/>
          </w:rPr>
          <w:t>75.73(1)</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75.73(2)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monthly household income. </w:t>
      </w:r>
      <w:r>
        <w:rPr>
          <w:rFonts w:ascii="Times New Roman" w:hAnsi="Times New Roman"/>
          <w:b w:val="false"/>
          <w:i w:val="false"/>
          <w:color w:val="000000"/>
          <w:sz w:val="22"/>
        </w:rPr>
        <w:t xml:space="preserve">Both initial and ongoing eligibility will be based on current monthly income when current income and any applicable expenses are a good indicator of future income except when the income is unemployment insurance benefits as described in paragraph </w:t>
      </w:r>
      <w:hyperlink r:id="rId438">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in current month’s income. </w:t>
      </w:r>
      <w:r>
        <w:rPr>
          <w:rFonts w:ascii="Times New Roman" w:hAnsi="Times New Roman"/>
          <w:b w:val="false"/>
          <w:i w:val="false"/>
          <w:color w:val="000000"/>
          <w:sz w:val="22"/>
        </w:rPr>
        <w:t xml:space="preserve">If the household indicates that current countable income is not indicative of future income due to a change that is reasonably expected to occur in the current or next month, the amount of monthly income used for initial and ongoing eligibility will be calculated based on the change. When the anticipated change is with unemployment insurance benefits, income will be budgeted as described in paragraph </w:t>
      </w:r>
      <w:hyperlink r:id="rId439">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Unemployment insurance benefits (UIB). </w:t>
      </w:r>
      <w:r>
        <w:rPr>
          <w:rFonts w:ascii="Times New Roman" w:hAnsi="Times New Roman"/>
          <w:b w:val="false"/>
          <w:i w:val="false"/>
          <w:color w:val="000000"/>
          <w:sz w:val="22"/>
        </w:rPr>
        <w:t>When current income includes UIB, the monthly amount of UIB income used for initial and ongoing eligibility will be determined by annualizing the remaining balance according to the applicable item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the monthly amount is determined by using the remaining balance as of the first day of the month in which the application was filed and dividing the balance by 12. If the UIB will end in the application month, the annualized amount will be used for the application month only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in the review process described in rule </w:t>
      </w:r>
      <w:hyperlink r:id="rId440">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the monthly amount is determined by using the remaining balance as of the first day of the month of the new certification period and dividing the balance by 12. If the UIB will end in the first month of the new certification period, the annualized amount will be used for the first month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reporting a change and not due for review as described in rule </w:t>
      </w:r>
      <w:hyperlink r:id="rId441">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the monthly amount is determined by using the remaining balance as of the first day of the month in which the change can be acted upon in accordance with rule </w:t>
      </w:r>
      <w:hyperlink r:id="rId442">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Recurring lump-sum income. </w:t>
      </w:r>
      <w:r>
        <w:rPr>
          <w:rFonts w:ascii="Times New Roman" w:hAnsi="Times New Roman"/>
          <w:b w:val="false"/>
          <w:i w:val="false"/>
          <w:color w:val="000000"/>
          <w:sz w:val="22"/>
        </w:rPr>
        <w:t>Recurring lump-sum earned and unearned income, except for the income of the self-employed, will be prorated over the number of months for which the income was received and applied to the eligibility determination for the same number of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by an individual employed under a contract will be prorated over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received at periodic intervals or intermittently will be prorated over the period covered by the income and applied to the eligibility determination for the same number of months.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Periodic or intermittent income from self-employment will be treated as described in paragraph </w:t>
      </w:r>
      <w:hyperlink r:id="rId443">
        <w:r>
          <w:rPr>
            <w:rStyle w:val="Hyperlink"/>
            <w:rFonts w:ascii="Times New Roman" w:hAnsi="Times New Roman"/>
            <w:b w:val="false"/>
            <w:i w:val="false"/>
            <w:color w:val="000000"/>
            <w:sz w:val="22"/>
          </w:rPr>
          <w:t>75.73(4)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expenses and deductions will be applied to the monthly prorated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Conversion of weekly or biweekly income to a monthly amount. </w:t>
      </w:r>
      <w:r>
        <w:rPr>
          <w:rFonts w:ascii="Times New Roman" w:hAnsi="Times New Roman"/>
          <w:b w:val="false"/>
          <w:i w:val="false"/>
          <w:color w:val="000000"/>
          <w:sz w:val="22"/>
        </w:rPr>
        <w:t>When income received weekly or biweekly (once every two weeks) is projected for future months, it will be projected by adding all income received in the time period being used and dividing the result by the number of instances of income received in that time period. The result will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Countable income from self-employment not received on a regular weekly, biweekly, semimonthly or monthly basis will be annualized (annual income averaged over a 12-month period of time) to arrive at the monthly amount to be used to determine eligibility, even if the income is received within a short period of time during that 12-month period. Countable self-employment income is gross countable income as defined in paragraph </w:t>
      </w:r>
      <w:hyperlink r:id="rId444">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less allowable expenses pursuant to subrule </w:t>
      </w:r>
      <w:hyperlink r:id="rId445">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change in self-employment will be handled in accordance with subparagraph </w:t>
      </w:r>
      <w:hyperlink r:id="rId446">
        <w:r>
          <w:rPr>
            <w:rStyle w:val="Hyperlink"/>
            <w:rFonts w:ascii="Times New Roman" w:hAnsi="Times New Roman"/>
            <w:b w:val="false"/>
            <w:i w:val="false"/>
            <w:color w:val="000000"/>
            <w:sz w:val="22"/>
          </w:rPr>
          <w:t>75.73(4)</w:t>
        </w:r>
      </w:hyperlink>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that does not produce a regular weekly, biweekly, semimonthly or monthly income has been in existence for less than a year, income will be averaged over the period of time the enterprise has been in existence to arrive at a projected monthly amount to be used to determine eligibility. If the enterprise has been in existence for such a short time that there is very little income information or income in the period of time is not a good indicator of future income, the department will establish, with the cooperation of the applicant or member, a reasonable estimate of the projected monthly income to be used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policies outlined in this paragraph apply when self-employment income is received before the month of decision and the income is expected to continue, in the month of decision,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that will result in a significant change in the person’s annual net income. Change in self-employment income is defined as a change that will result in a significant change in the person’s annual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applicant or member reports that change in operating expenses has occurred and the person’s self-employment income has been annualized, the department will recalculate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self-employment income occurs and the person’s self-employment income has been annualized, the department will recalculate income and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or income received from self-employment that occurs as a result of seasonal business fluctuations is not considered a change for the purpose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Rounding procedures. </w:t>
      </w:r>
      <w:r>
        <w:rPr>
          <w:rFonts w:ascii="Times New Roman" w:hAnsi="Times New Roman"/>
          <w:b w:val="false"/>
          <w:i w:val="false"/>
          <w:color w:val="000000"/>
          <w:sz w:val="22"/>
        </w:rPr>
        <w:t>The following rounding procedures apply when determining countable MAGI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third digit to the right of the decimal point in any calculation of income will be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monthly countable income is converted to a percentage of the FPL and the resulting percentage is not a whole number, the FPL percentage is rounded up to the next whole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75.73(5)</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 xml:space="preserve">When an applicant or member shares living arrangements with another family or person, funds combined to meet mutual obligations for shelter and other basic needs are not income. Funds made available to the applicant or member exclusively for the applicant’s or member’s needs are considered income, except as described at </w:t>
      </w:r>
      <w:hyperlink r:id="rId447">
        <w:r>
          <w:rPr>
            <w:rStyle w:val="Hyperlink"/>
            <w:rFonts w:ascii="Times New Roman" w:hAnsi="Times New Roman"/>
            <w:b w:val="false"/>
            <w:i w:val="false"/>
            <w:color w:val="000000"/>
            <w:sz w:val="22"/>
          </w:rPr>
          <w:t>75.73(1)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441—75.74</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limits. </w:t>
      </w:r>
      <w:r>
        <w:rPr>
          <w:rFonts w:ascii="Times New Roman" w:hAnsi="Times New Roman"/>
          <w:b w:val="false"/>
          <w:i w:val="false"/>
          <w:color w:val="000000"/>
          <w:sz w:val="22"/>
        </w:rPr>
        <w:t>The following income limits apply to the MAGI-related coverage groups specified below, as identified by the legal references provided: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3840"/>
        <w:gridCol w:w="1920"/>
        <w:gridCol w:w="2304"/>
      </w:tblGrid>
      <w:tr>
        <w:trPr>
          <w:trHeight w:val="36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Coverage Group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Legal Reference</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Household Size </w:t>
            </w:r>
            <w:r>
              <w:br/>
            </w:r>
            <w:r>
              <w:rPr>
                <w:rFonts w:ascii="Times New Roman" w:hAnsi="Times New Roman"/>
                <w:b/>
                <w:i w:val="false"/>
                <w:color w:val="000000"/>
                <w:sz w:val="14"/>
              </w:rPr>
              <w:t>(persons)</w:t>
            </w:r>
          </w:p>
        </w:tc>
        <w:tc>
          <w:tcPr>
            <w:tcW w:w="230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Income Limit </w:t>
            </w:r>
            <w:r>
              <w:br/>
            </w:r>
            <w:r>
              <w:rPr>
                <w:rFonts w:ascii="Times New Roman" w:hAnsi="Times New Roman"/>
                <w:b/>
                <w:i w:val="false"/>
                <w:color w:val="000000"/>
                <w:sz w:val="14"/>
              </w:rPr>
              <w:t>(per month)</w:t>
            </w:r>
          </w:p>
        </w:tc>
      </w:tr>
      <w:tr>
        <w:trPr>
          <w:trHeight w:val="195" w:hRule="atLeast"/>
        </w:trPr>
        <w:tc>
          <w:tcPr>
            <w:tcW w:w="3456"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FMAP</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hyperlink r:id="rId448">
              <w:r>
                <w:rPr>
                  <w:rStyle w:val="Hyperlink"/>
                  <w:rFonts w:ascii="Times New Roman" w:hAnsi="Times New Roman"/>
                  <w:b w:val="false"/>
                  <w:i w:val="false"/>
                  <w:color w:val="000000"/>
                  <w:sz w:val="14"/>
                </w:rPr>
                <w:t>441—subrule 75.3(1)</w:t>
              </w:r>
            </w:hyperlink>
            <w:r>
              <w:rPr>
                <w:rFonts w:ascii="Times New Roman" w:hAnsi="Times New Roman"/>
                <w:b w:val="false"/>
                <w:i w:val="false"/>
                <w:color w:val="000000"/>
                <w:sz w:val="14"/>
              </w:rPr>
              <w:t xml:space="preserve">; </w:t>
            </w:r>
            <w:r>
              <w:rPr>
                <w:rFonts w:ascii="Times New Roman" w:hAnsi="Times New Roman"/>
                <w:b w:val="false"/>
                <w:i w:val="false"/>
                <w:color w:val="000000"/>
                <w:sz w:val="14"/>
              </w:rPr>
              <w:t>42 CFR Part 435</w:t>
            </w:r>
            <w:r>
              <w:rPr>
                <w:rFonts w:ascii="Times New Roman" w:hAnsi="Times New Roman"/>
                <w:b w:val="false"/>
                <w:i w:val="false"/>
                <w:color w:val="000000"/>
                <w:sz w:val="14"/>
              </w:rPr>
              <w:t>.110 and 435.118; Title XIX of the Act, Section 1931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$447</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$716</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$872</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$1,033</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$1,177</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$1,330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$1,481</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$1,633</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$1,784</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$1,950</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over 10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$1,950 plus $178 for each additional person</w:t>
            </w:r>
          </w:p>
        </w:tc>
      </w:tr>
      <w:tr>
        <w:trPr>
          <w:trHeight w:val="36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Mothers and Children, for pregnant women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hyperlink r:id="rId449">
              <w:r>
                <w:rPr>
                  <w:rStyle w:val="Hyperlink"/>
                  <w:rFonts w:ascii="Times New Roman" w:hAnsi="Times New Roman"/>
                  <w:b w:val="false"/>
                  <w:i w:val="false"/>
                  <w:color w:val="000000"/>
                  <w:sz w:val="14"/>
                </w:rPr>
                <w:t>441—subrule 75.3(2)</w:t>
              </w:r>
            </w:hyperlink>
            <w:r>
              <w:rPr>
                <w:rFonts w:ascii="Times New Roman" w:hAnsi="Times New Roman"/>
                <w:b w:val="false"/>
                <w:i w:val="false"/>
                <w:color w:val="000000"/>
                <w:sz w:val="14"/>
              </w:rPr>
              <w:t xml:space="preserve">; </w:t>
            </w:r>
            <w:r>
              <w:rPr>
                <w:rFonts w:ascii="Times New Roman" w:hAnsi="Times New Roman"/>
                <w:b w:val="false"/>
                <w:i w:val="false"/>
                <w:color w:val="000000"/>
                <w:sz w:val="14"/>
              </w:rPr>
              <w:t>42 CFR Part 435</w:t>
            </w:r>
            <w:r>
              <w:rPr>
                <w:rFonts w:ascii="Times New Roman" w:hAnsi="Times New Roman"/>
                <w:b w:val="false"/>
                <w:i w:val="false"/>
                <w:color w:val="000000"/>
                <w:sz w:val="14"/>
              </w:rPr>
              <w:t>.116 and 435.118;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215% of the FPL for the household</w:t>
            </w:r>
          </w:p>
        </w:tc>
      </w:tr>
      <w:tr>
        <w:trPr>
          <w:trHeight w:val="36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Mothers and Children, for infants under one year of age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of the FPL for the household</w:t>
            </w:r>
          </w:p>
        </w:tc>
      </w:tr>
      <w:tr>
        <w:trPr>
          <w:trHeight w:val="36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Mothers and Children, for children aged 1 through 18 years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hyperlink r:id="rId450">
              <w:r>
                <w:rPr>
                  <w:rStyle w:val="Hyperlink"/>
                  <w:rFonts w:ascii="Times New Roman" w:hAnsi="Times New Roman"/>
                  <w:b w:val="false"/>
                  <w:i w:val="false"/>
                  <w:color w:val="000000"/>
                  <w:sz w:val="14"/>
                </w:rPr>
                <w:t>441—subrule 75.3(2)</w:t>
              </w:r>
            </w:hyperlink>
            <w:r>
              <w:rPr>
                <w:rFonts w:ascii="Times New Roman" w:hAnsi="Times New Roman"/>
                <w:b w:val="false"/>
                <w:i w:val="false"/>
                <w:color w:val="000000"/>
                <w:sz w:val="14"/>
              </w:rPr>
              <w:t xml:space="preserve">; </w:t>
            </w:r>
            <w:r>
              <w:rPr>
                <w:rFonts w:ascii="Times New Roman" w:hAnsi="Times New Roman"/>
                <w:b w:val="false"/>
                <w:i w:val="false"/>
                <w:color w:val="000000"/>
                <w:sz w:val="14"/>
              </w:rPr>
              <w:t>42 CFR Part 435</w:t>
            </w:r>
            <w:r>
              <w:rPr>
                <w:rFonts w:ascii="Times New Roman" w:hAnsi="Times New Roman"/>
                <w:b w:val="false"/>
                <w:i w:val="false"/>
                <w:color w:val="000000"/>
                <w:sz w:val="14"/>
              </w:rPr>
              <w:t>.118;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167% of the FPL for the household</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441—75.75</w:t>
      </w:r>
      <w:r>
        <w:rPr>
          <w:rFonts w:ascii="Times New Roman" w:hAnsi="Times New Roman"/>
          <w:b w:val="false"/>
          <w:i w:val="false"/>
          <w:color w:val="000000"/>
          <w:sz w:val="22"/>
        </w:rPr>
        <w:t xml:space="preserve"> to </w:t>
      </w:r>
      <w:r>
        <w:rPr>
          <w:rFonts w:ascii="Times New Roman" w:hAnsi="Times New Roman"/>
          <w:b/>
          <w:i w:val="false"/>
          <w:color w:val="000000"/>
          <w:sz w:val="22"/>
        </w:rPr>
        <w:t>75.79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ELIGIBILITY FACTORS SPECIFIC TO NON-MAGI-RELATED COVERAGE GROUPS, PERSONS IN MEDICAL INSTITUTIONS AND PERSONS RECEIVING LONG-TERM CARE SERVICES</w:t>
      </w:r>
    </w:p>
    <w:p>
      <w:pPr>
        <w:spacing w:before="0" w:after="0"/>
        <w:ind w:left="120"/>
        <w:jc w:val="both"/>
      </w:pPr>
      <w:r>
        <w:rPr>
          <w:rFonts w:ascii="Times New Roman" w:hAnsi="Times New Roman"/>
          <w:b/>
          <w:i w:val="false"/>
          <w:color w:val="000000"/>
          <w:sz w:val="22"/>
        </w:rPr>
        <w:t>441—75.80</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Categorical relatedness to supplemental security income (SSI). </w:t>
      </w:r>
      <w:r>
        <w:rPr>
          <w:rFonts w:ascii="Times New Roman" w:hAnsi="Times New Roman"/>
          <w:b w:val="false"/>
          <w:i w:val="false"/>
          <w:color w:val="000000"/>
          <w:sz w:val="22"/>
        </w:rPr>
        <w:t xml:space="preserve">Except as otherwise provided in 441—Chapters </w:t>
      </w:r>
      <w:hyperlink r:id="rId451">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persons who are 65 years of age or older, blind, or disabled are eligible for Medicaid only if eligible for the SSI program administered by the SSA.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75.80(1)</w:t>
      </w:r>
      <w:r>
        <w:rPr>
          <w:rFonts w:ascii="Times New Roman" w:hAnsi="Times New Roman"/>
          <w:b w:val="false"/>
          <w:i w:val="false"/>
          <w:color w:val="000000"/>
          <w:sz w:val="22"/>
        </w:rPr>
        <w:t> </w:t>
      </w:r>
      <w:r>
        <w:rPr>
          <w:rFonts w:ascii="Times New Roman" w:hAnsi="Times New Roman"/>
          <w:b w:val="false"/>
          <w:i/>
          <w:color w:val="000000"/>
          <w:sz w:val="22"/>
        </w:rPr>
        <w:t xml:space="preserve">SSI policy reference. </w:t>
      </w:r>
      <w:r>
        <w:rPr>
          <w:rFonts w:ascii="Times New Roman" w:hAnsi="Times New Roman"/>
          <w:b w:val="false"/>
          <w:i w:val="false"/>
          <w:color w:val="000000"/>
          <w:sz w:val="22"/>
        </w:rPr>
        <w:t>The statutes, regulations, and policy governing eligibility for SSI (collectively, “SSI policies”) are found in Title XVI of the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1381 through 1383f), in the federal regulations promulgated pursuant to Title XVI of the Act (</w:t>
      </w:r>
      <w:r>
        <w:rPr>
          <w:rFonts w:ascii="Times New Roman" w:hAnsi="Times New Roman"/>
          <w:b w:val="false"/>
          <w:i w:val="false"/>
          <w:color w:val="000000"/>
          <w:sz w:val="22"/>
        </w:rPr>
        <w:t>20 CFR 416.101</w:t>
      </w:r>
      <w:r>
        <w:rPr>
          <w:rFonts w:ascii="Times New Roman" w:hAnsi="Times New Roman"/>
          <w:b w:val="false"/>
          <w:i w:val="false"/>
          <w:color w:val="000000"/>
          <w:sz w:val="22"/>
        </w:rPr>
        <w:t xml:space="preserve"> to 416.2227), and in Part 5 of the program operations manual system published by the SSA. The program operations manual system is available online; at SSA offices in Ames, Burlington, Carroll, Cedar Rapids, Coralville, Council Bluffs, Creston, Davenport, Des Moines, Dubuque, Fort Dodge, Marshalltown, Mason City, Ottumwa, Sioux City, Spencer, and Waterloo; and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75.80(2)</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For non-MAGI-related Medicaid eligibility purposes, income will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75.80(3)</w:t>
      </w:r>
      <w:r>
        <w:rPr>
          <w:rFonts w:ascii="Times New Roman" w:hAnsi="Times New Roman"/>
          <w:b w:val="false"/>
          <w:i w:val="false"/>
          <w:color w:val="000000"/>
          <w:sz w:val="22"/>
        </w:rPr>
        <w:t> </w:t>
      </w:r>
      <w:r>
        <w:rPr>
          <w:rFonts w:ascii="Times New Roman" w:hAnsi="Times New Roman"/>
          <w:b w:val="false"/>
          <w:i/>
          <w:color w:val="000000"/>
          <w:sz w:val="22"/>
        </w:rPr>
        <w:t xml:space="preserve">Trust contributions. </w:t>
      </w:r>
      <w:r>
        <w:rPr>
          <w:rFonts w:ascii="Times New Roman" w:hAnsi="Times New Roman"/>
          <w:b w:val="false"/>
          <w:i w:val="false"/>
          <w:color w:val="000000"/>
          <w:sz w:val="22"/>
        </w:rPr>
        <w:t xml:space="preserve">Income that a person contributes to a trust as specified in paragraph </w:t>
      </w:r>
      <w:hyperlink r:id="rId453">
        <w:r>
          <w:rPr>
            <w:rStyle w:val="Hyperlink"/>
            <w:rFonts w:ascii="Times New Roman" w:hAnsi="Times New Roman"/>
            <w:b w:val="false"/>
            <w:i w:val="false"/>
            <w:color w:val="000000"/>
            <w:sz w:val="22"/>
          </w:rPr>
          <w:t>75.24(3)</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be considered for purposes of determining eligibility for non-MAGI-related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75.80(4)</w:t>
      </w:r>
      <w:r>
        <w:rPr>
          <w:rFonts w:ascii="Times New Roman" w:hAnsi="Times New Roman"/>
          <w:b w:val="false"/>
          <w:i w:val="false"/>
          <w:color w:val="000000"/>
          <w:sz w:val="22"/>
        </w:rPr>
        <w:t> </w:t>
      </w:r>
      <w:r>
        <w:rPr>
          <w:rFonts w:ascii="Times New Roman" w:hAnsi="Times New Roman"/>
          <w:b w:val="false"/>
          <w:i/>
          <w:color w:val="000000"/>
          <w:sz w:val="22"/>
        </w:rPr>
        <w:t xml:space="preserve">Conditional eligibility. </w:t>
      </w:r>
      <w:r>
        <w:rPr>
          <w:rFonts w:ascii="Times New Roman" w:hAnsi="Times New Roman"/>
          <w:b w:val="false"/>
          <w:i w:val="false"/>
          <w:color w:val="000000"/>
          <w:sz w:val="22"/>
        </w:rPr>
        <w:t>For purposes of determining eligibility for non-MAGI-related Medicaid, the SSI conditional eligibility process, by which a client may receive SSI benefits while attempting to sell excess resources found at 20 CFR Sections 416.1240 through 416.1245, is not considered an eligibility methodology.</w:t>
      </w:r>
    </w:p>
    <w:p>
      <w:pPr>
        <w:spacing w:before="0" w:after="0"/>
        <w:ind w:left="120"/>
        <w:jc w:val="both"/>
      </w:pPr>
      <w:r>
        <w:rPr>
          <w:rFonts w:ascii="Times New Roman" w:hAnsi="Times New Roman"/>
          <w:b/>
          <w:i w:val="false"/>
          <w:color w:val="000000"/>
          <w:sz w:val="22"/>
        </w:rPr>
        <w:t>75.80(5)</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estates and remainder interests. </w:t>
      </w:r>
      <w:r>
        <w:rPr>
          <w:rFonts w:ascii="Times New Roman" w:hAnsi="Times New Roman"/>
          <w:b w:val="false"/>
          <w:i w:val="false"/>
          <w:color w:val="000000"/>
          <w:sz w:val="22"/>
        </w:rPr>
        <w:t>In the absence of other evidence, the value of a life estate or remainder interest in property will be determined using the following table by multiplying the fair market value of the entire underlying property (including all life estates and all remainder interests) by the life estate or remainder interest decimal corresponding to the age of the life estate holder or other person whose life controls the life estate. If a Medicaid applicant or member disputes the value determined using the following table, the applicant or member may submit other evidence and the value of the life estate or remainder interest will be determined based on the preponderance of all the evidence submitted to or obtained by the department, including the value given by the following table.</w:t>
      </w:r>
    </w:p>
    <w:tbl>
      <w:tblPr>
        <w:tblW w:w="0" w:type="auto"/>
        <w:tblCellSpacing w:w="0" w:type="auto"/>
        <w:tblBorders>
          <w:top w:val="single" w:color="000000" w:sz="8"/>
          <w:left w:val="none"/>
          <w:bottom w:val="none"/>
          <w:right w:val="none"/>
          <w:insideH w:val="none"/>
          <w:insideV w:val="none"/>
        </w:tblBorders>
        <w:tblLayout w:type="fixed"/>
      </w:tblPr>
      <w:tblGrid>
        <w:gridCol w:w="756"/>
        <w:gridCol w:w="1200"/>
        <w:gridCol w:w="1280"/>
        <w:gridCol w:w="154"/>
        <w:gridCol w:w="756"/>
        <w:gridCol w:w="1200"/>
        <w:gridCol w:w="1280"/>
        <w:gridCol w:w="154"/>
        <w:gridCol w:w="756"/>
        <w:gridCol w:w="1200"/>
        <w:gridCol w:w="1280"/>
      </w:tblGrid>
      <w:tr>
        <w:trPr>
          <w:trHeight w:val="195" w:hRule="atLeast"/>
        </w:trPr>
        <w:tc>
          <w:tcPr>
            <w:tcW w:w="75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2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Life Estate</w:t>
            </w:r>
          </w:p>
        </w:tc>
        <w:tc>
          <w:tcPr>
            <w:tcW w:w="128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Remainder</w:t>
            </w:r>
          </w:p>
        </w:tc>
        <w:tc>
          <w:tcPr>
            <w:tcW w:w="15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2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Life Estate</w:t>
            </w:r>
          </w:p>
        </w:tc>
        <w:tc>
          <w:tcPr>
            <w:tcW w:w="128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Remainder</w:t>
            </w:r>
          </w:p>
        </w:tc>
        <w:tc>
          <w:tcPr>
            <w:tcW w:w="15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2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Life Estate</w:t>
            </w:r>
          </w:p>
        </w:tc>
        <w:tc>
          <w:tcPr>
            <w:tcW w:w="128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Remainder</w:t>
            </w:r>
          </w:p>
        </w:tc>
      </w:tr>
      <w:tr>
        <w:trPr>
          <w:trHeight w:val="195"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.97188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.02812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.93026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.06974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.53862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.46138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.98988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.01012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.92567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.07433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.52149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.47851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.99017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.00983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.92083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.07917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.51441</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.49559</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.99008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.00992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.91571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.08429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.48742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.51258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.98981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.01019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.91030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.08970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.47049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.52951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.98938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.01062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.90457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.09543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.45357</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.54643</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.98884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.01116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.89855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.10145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.43569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.56341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.98822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.01178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.89221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.10779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.41967</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.58033</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.98748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.01252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.88558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.11442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.40295</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.59705</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.98663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.01337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.87863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.12137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.38642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.61358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.98565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.01435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.87137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.12863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.36998</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.63002</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.98453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.01547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.86374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.13626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.35359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.64641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.98329</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.01671</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.85578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.14422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.33764</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.66236</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.98198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.01802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.84743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.15257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.32262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.67738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.98066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.01934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.83674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.16126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.30859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.69141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.97937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.02063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.82969</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.17031</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.29526</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.70474</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.97815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.02185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.82028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.17972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.28221</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.71779</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.97700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.02300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.81054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.18946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.26955</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.73045</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.97590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.02410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.80046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.19954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.25771</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.74229</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.97480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.02520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.79006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.20994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.24692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.75308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.97365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.02635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.77931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.22069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.23728</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.76272</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.97245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.02755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.76822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.23178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.22887</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.77113</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.97120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.02880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.75675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.24325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.22181</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.77819</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.96986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.03014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.74491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.25509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.21550</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.78450</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.96841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.03159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.73267</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.26733</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.21000</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.79000</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.96678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.03322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.72002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.27998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.20486</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.79514</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.96495</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.03505</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.70696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.29304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.19975</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.80025</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.96290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.03710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.69352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.30648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.19532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.80468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.96062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.03938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.67970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.32030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.19054</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.80946</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.95813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.04187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.66551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.33449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.18437</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.81563</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.95543</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.04457</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.65098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.343902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.17856</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.82144</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.95254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.04746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.63610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.363690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.16962</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.83038</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.94942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.05058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.62086</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.37914</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.15488</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.84512</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.94608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.05392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.60522</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.39478</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107</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.13409</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.86591</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.94250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.05750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71</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.58914</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.41086</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108</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.10068</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.89932</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.93868</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.06132</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.57261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.42739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109</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.04545</w:t>
            </w:r>
          </w:p>
        </w:tc>
        <w:tc>
          <w:tcPr>
            <w:tcW w:w="12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.95455</w:t>
            </w:r>
          </w:p>
        </w:tc>
      </w:tr>
      <w:tr>
        <w:trPr>
          <w:trHeight w:val="180" w:hRule="atLeast"/>
        </w:trPr>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.93460</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.06540</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w:t>
            </w:r>
          </w:p>
        </w:tc>
        <w:tc>
          <w:tcPr>
            <w:tcW w:w="12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.55571</w:t>
            </w:r>
          </w:p>
        </w:tc>
        <w:tc>
          <w:tcPr>
            <w:tcW w:w="12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.44429</w:t>
            </w:r>
          </w:p>
        </w:tc>
        <w:tc>
          <w:tcPr>
            <w:tcW w:w="15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75.80(6)</w:t>
      </w:r>
      <w:r>
        <w:rPr>
          <w:rFonts w:ascii="Times New Roman" w:hAnsi="Times New Roman"/>
          <w:b w:val="false"/>
          <w:i w:val="false"/>
          <w:color w:val="000000"/>
          <w:sz w:val="22"/>
        </w:rPr>
        <w:t> </w:t>
      </w:r>
      <w:r>
        <w:rPr>
          <w:rFonts w:ascii="Times New Roman" w:hAnsi="Times New Roman"/>
          <w:b w:val="false"/>
          <w:i/>
          <w:color w:val="000000"/>
          <w:sz w:val="22"/>
        </w:rPr>
        <w:t xml:space="preserve">Resource eligibility for non-MAGI-related Medicaid for children. </w:t>
      </w:r>
      <w:r>
        <w:rPr>
          <w:rFonts w:ascii="Times New Roman" w:hAnsi="Times New Roman"/>
          <w:b w:val="false"/>
          <w:i w:val="false"/>
          <w:color w:val="000000"/>
          <w:sz w:val="22"/>
        </w:rPr>
        <w:t xml:space="preserve">Resources of all household members will be disregarded when determining eligibility for children under any non-MAGI-related coverage group except for those groups in paragraphs </w:t>
      </w:r>
      <w:hyperlink r:id="rId454">
        <w:r>
          <w:rPr>
            <w:rStyle w:val="Hyperlink"/>
            <w:rFonts w:ascii="Times New Roman" w:hAnsi="Times New Roman"/>
            <w:b w:val="false"/>
            <w:i w:val="false"/>
            <w:color w:val="000000"/>
            <w:sz w:val="22"/>
          </w:rPr>
          <w:t>75.6(1)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t>
      </w:r>
      <w:hyperlink r:id="rId455">
        <w:r>
          <w:rPr>
            <w:rStyle w:val="Hyperlink"/>
            <w:rFonts w:ascii="Times New Roman" w:hAnsi="Times New Roman"/>
            <w:b w:val="false"/>
            <w:i w:val="false"/>
            <w:color w:val="000000"/>
            <w:sz w:val="22"/>
          </w:rPr>
          <w:t>75.6(2)</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w:t>
      </w:r>
      <w:hyperlink r:id="rId456">
        <w:r>
          <w:rPr>
            <w:rStyle w:val="Hyperlink"/>
            <w:rFonts w:ascii="Times New Roman" w:hAnsi="Times New Roman"/>
            <w:b w:val="false"/>
            <w:i w:val="false"/>
            <w:color w:val="000000"/>
            <w:sz w:val="22"/>
          </w:rPr>
          <w:t>75.6(4)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57">
        <w:r>
          <w:rPr>
            <w:rStyle w:val="Hyperlink"/>
            <w:rFonts w:ascii="Times New Roman" w:hAnsi="Times New Roman"/>
            <w:b w:val="false"/>
            <w:i w:val="false"/>
            <w:color w:val="000000"/>
            <w:sz w:val="22"/>
          </w:rPr>
          <w:t>75.6(5)</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441—75.81</w:t>
      </w:r>
      <w:r>
        <w:rPr>
          <w:rFonts w:ascii="Times New Roman" w:hAnsi="Times New Roman"/>
          <w:b/>
          <w:i w:val="false"/>
          <w:color w:val="000000"/>
          <w:sz w:val="22"/>
        </w:rPr>
        <w:t xml:space="preserve">(249A) </w:t>
      </w:r>
      <w:r>
        <w:rPr>
          <w:rFonts w:ascii="Times New Roman" w:hAnsi="Times New Roman"/>
          <w:b/>
          <w:i w:val="false"/>
          <w:color w:val="000000"/>
          <w:sz w:val="22"/>
        </w:rPr>
        <w:t xml:space="preserve">Disability requirements for non-MAGI-related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Applicants receiving federal benefits. </w:t>
      </w:r>
      <w:r>
        <w:rPr>
          <w:rFonts w:ascii="Times New Roman" w:hAnsi="Times New Roman"/>
          <w:b w:val="false"/>
          <w:i w:val="false"/>
          <w:color w:val="000000"/>
          <w:sz w:val="22"/>
        </w:rPr>
        <w:t>An applicant receiving SSI on the basis of disability, social security disability benefits under Title II of the Act, or railroad retirement benefits based on the Social Security Act’s definition of disability by the Railroad Retirement Board, will be deemed disabled without further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Applicants not receiving federal benefits. </w:t>
      </w:r>
      <w:r>
        <w:rPr>
          <w:rFonts w:ascii="Times New Roman" w:hAnsi="Times New Roman"/>
          <w:b w:val="false"/>
          <w:i w:val="false"/>
          <w:color w:val="000000"/>
          <w:sz w:val="22"/>
        </w:rPr>
        <w:t>When disability has not been established based on the receipt of social security disability or railroad retirement benefits based on the same disability criteria as used by the SSA, the department will determine eligibility for non-MAGI-related Medicaid based on disability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SSA disability determination under either a social security disability (Title II) application or an SSI application is binding on the department until changed by SSA unless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alleges a disabling condition different from, or in addition to, that considered by SSA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alleges more than 12 months after the most recent SSA determination denying disability that the applicant’s condition has changed or deteriorated since that SSA determination and alleges a new period of disability that meets the durational requirements, and has not applied to SSA for a determination with respect to these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alleges less than 12 months after the most recent SSA determination denying disability that the applicant’s condition has changed or deteriorated since that SSA determination, alleges a new period of disability that meets the durational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applied to SSA for reconsideration or reopening of its disability decision and SSA refused to consider the new allegations,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no longer meets the nondisability requirements for SSI but may meet the department’s nondisability requirements for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binding SSA decision and the department is required to establish eligibility for non-MAGI-related Medicaid based on disability, initial determinations will be made by the department of workforce development’s disability determination services division. The applicant or the applicant’s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SSA decision on disability is pending when the person applies for Medicaid or when the person applies for either Title II benefits or SSI within ten working days of the Medicaid application, the department will stay a decision on disability pending the SSA decision on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decisions. </w:t>
      </w:r>
      <w:r>
        <w:rPr>
          <w:rFonts w:ascii="Times New Roman" w:hAnsi="Times New Roman"/>
          <w:b w:val="false"/>
          <w:i w:val="false"/>
          <w:color w:val="000000"/>
          <w:sz w:val="22"/>
        </w:rPr>
        <w:t>Determination of eligibility based on disability will be completed within 90 days unless the applicant or an examining physician delays or fails to take a required action or there is an administrative or other emergency beyond the department’s or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Reviews of disability. </w:t>
      </w:r>
      <w:r>
        <w:rPr>
          <w:rFonts w:ascii="Times New Roman" w:hAnsi="Times New Roman"/>
          <w:b w:val="false"/>
          <w:i w:val="false"/>
          <w:color w:val="000000"/>
          <w:sz w:val="22"/>
        </w:rPr>
        <w:t>In connection with any independent determination of disability, the department will determine whether reexamination of the member’s disability will be required for periodic eligibility reviews. When a disability review is required, the member or the member’s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75.81(5)</w:t>
      </w:r>
      <w:r>
        <w:rPr>
          <w:rFonts w:ascii="Times New Roman" w:hAnsi="Times New Roman"/>
          <w:b w:val="false"/>
          <w:i w:val="false"/>
          <w:color w:val="000000"/>
          <w:sz w:val="22"/>
        </w:rPr>
        <w:t> </w:t>
      </w:r>
      <w:r>
        <w:rPr>
          <w:rFonts w:ascii="Times New Roman" w:hAnsi="Times New Roman"/>
          <w:b w:val="false"/>
          <w:i/>
          <w:color w:val="000000"/>
          <w:sz w:val="22"/>
        </w:rPr>
        <w:t xml:space="preserve">Members whose disability was determined by the department. </w:t>
      </w:r>
      <w:r>
        <w:rPr>
          <w:rFonts w:ascii="Times New Roman" w:hAnsi="Times New Roman"/>
          <w:b w:val="false"/>
          <w:i w:val="false"/>
          <w:color w:val="000000"/>
          <w:sz w:val="22"/>
        </w:rPr>
        <w:t xml:space="preserve">When a Medicaid member has been approved for Medicaid based on disability determined by the department and later is determined by SSA not to be disabled for SSI, the member will continue to be considered disabled for Medicaid eligibility purposes for 65 days from the date of the SSA denial. If at the end of the 65 days there is no appeal to the SSA, Medicaid will be canceled with timely notice in accordance with </w:t>
      </w:r>
      <w:hyperlink r:id="rId45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If there is an appeal to SSA within 65 days, the member will continue to be considered disabled for Medicaid eligibility purposes until a final SSA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75.81(6)</w:t>
      </w:r>
      <w:r>
        <w:rPr>
          <w:rFonts w:ascii="Times New Roman" w:hAnsi="Times New Roman"/>
          <w:b w:val="false"/>
          <w:i w:val="false"/>
          <w:color w:val="000000"/>
          <w:sz w:val="22"/>
        </w:rPr>
        <w:t> </w:t>
      </w:r>
      <w:r>
        <w:rPr>
          <w:rFonts w:ascii="Times New Roman" w:hAnsi="Times New Roman"/>
          <w:b w:val="false"/>
          <w:i/>
          <w:color w:val="000000"/>
          <w:sz w:val="22"/>
        </w:rPr>
        <w:t xml:space="preserve">Disability redeterminations for members who attain age 18. </w:t>
      </w:r>
      <w:r>
        <w:rPr>
          <w:rFonts w:ascii="Times New Roman" w:hAnsi="Times New Roman"/>
          <w:b w:val="false"/>
          <w:i w:val="false"/>
          <w:color w:val="000000"/>
          <w:sz w:val="22"/>
        </w:rPr>
        <w:t>If a member is eligible based on an independent determination of disability made under the standards applicable to persons under 18 years of age, the department will redetermine the member’s disability after the member attains the age of 18 years. The member’s disability will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standards applicable to persons who are 18 years of age or 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Regardless of whether a review of the member’s disability would otherwise be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rules </w:t>
      </w:r>
      <w:hyperlink r:id="rId45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46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certain factors must be considered differently for persons who reside in a medical institution,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75.82(1)</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from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will be considered in proportion to the Medicaid client’s or spouse’s interest. If payment is made jointly to both spouses and no interest is specified, one-half of the couple’s joint interest will be considered available for each spouse. If the client or the client’s spouse can establish different ownership by a preponderance of evidence, the income will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will be considered available as provided in the trust. In the absence of specific provisions in the trust, the income will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75.82(2)</w:t>
      </w:r>
      <w:r>
        <w:rPr>
          <w:rFonts w:ascii="Times New Roman" w:hAnsi="Times New Roman"/>
          <w:b w:val="false"/>
          <w:i w:val="false"/>
          <w:color w:val="000000"/>
          <w:sz w:val="22"/>
        </w:rPr>
        <w:t> </w:t>
      </w:r>
      <w:r>
        <w:rPr>
          <w:rFonts w:ascii="Times New Roman" w:hAnsi="Times New Roman"/>
          <w:b w:val="false"/>
          <w:i/>
          <w:color w:val="000000"/>
          <w:sz w:val="22"/>
        </w:rPr>
        <w:t xml:space="preserve">Division of income between married people for non-MAGI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spouse’s income will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will be treated as a couple until the first day of the seventh calendar month that they continuously reside in the facility. The couple may continue to be considered as a couple for Medicaid effective the first day of the seventh calendar month of continuous residency if one partner would be ineligible for Medicaid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461">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Persons treated together as a couple for income must be treated together for resources, and persons treated individually for income must be treated individually for resources. Spouses residing in the same room in a medical institution may be treated as individuals effective the first day of the seventh calendar month. The income of each spouse shall not exceed the income limit established in subrule </w:t>
      </w:r>
      <w:hyperlink r:id="rId462">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Their income will be treated separately for eligibility. If they live in the same facility after six months of continuous residence, they may be considered as a couple for Medicaid effective the first day of the seventh calendar month of continuous residency if one partner would be ineligible for Medicaid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46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75.82(3)</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to institutionalized spouse and community spouse. </w:t>
      </w:r>
      <w:r>
        <w:rPr>
          <w:rFonts w:ascii="Times New Roman" w:hAnsi="Times New Roman"/>
          <w:b w:val="false"/>
          <w:i w:val="false"/>
          <w:color w:val="000000"/>
          <w:sz w:val="22"/>
        </w:rPr>
        <w:t>The department will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will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a form prescribed by the department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a form prescribed by the department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will include a match of the IRS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464">
        <w:r>
          <w:rPr>
            <w:rStyle w:val="Hyperlink"/>
            <w:rFonts w:ascii="Times New Roman" w:hAnsi="Times New Roman"/>
            <w:b w:val="false"/>
            <w:i w:val="false"/>
            <w:color w:val="000000"/>
            <w:sz w:val="22"/>
          </w:rPr>
          <w:t>441—paragraph 41.22(3)</w:t>
        </w:r>
      </w:hyperlink>
      <w:r>
        <w:rPr>
          <w:rFonts w:ascii="Times New Roman" w:hAnsi="Times New Roman"/>
          <w:b w:val="false"/>
          <w:i/>
          <w:color w:val="000000"/>
          <w:sz w:val="22"/>
        </w:rPr>
        <w:t>“a”</w:t>
      </w:r>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natives of Alaska, shares of stock held in a regional or village corporation, during the period of 20 years in which the stock is inalienable, as provided in </w:t>
      </w:r>
      <w:r>
        <w:rPr>
          <w:rFonts w:ascii="Times New Roman" w:hAnsi="Times New Roman"/>
          <w:b w:val="false"/>
          <w:i w:val="false"/>
          <w:color w:val="000000"/>
          <w:sz w:val="22"/>
        </w:rPr>
        <w:t>Sections 7(h) and 8(c) of the Alaska Native Claims Settlement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as amended to August 1, 2025,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underpayment of SSI or social security benefits due either spouse for one or more months prior to the month of receipt. This exclusion is limited to the first six months following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 (or policies)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more than $1,500 for each spouse, that is separately identifiable and has been set aside to meet the burial and related expenses of that spouse. The amount of $1,500 will be reduced by an amount equal to the total face value of all insurance policies that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Relocation assistance provided by a state or local government to a client comparable to assistance provided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as amended to August 1, 2025, which is subject to the treatment required by Section 216 of that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will be protected for the community spouse. Also, when one-half of the resources attributed to the community spouse exceeds the maximum amount allowed as a community spouse resource allowance under the federal spousal impoverishment provisions, the amount over the maximum will be attributed to the institutionalized spouse. (The minimum and maximum limits are indexed annually according to the consumer price index.) The federal spousal impoverishment provisions are defined in Section 1924(f)(2)(A)(i)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 xml:space="preserve">-5(f)(2)(A)(i)). If the institutionalized spouse has transferred resources to the community spouse under a court order for the support of the community spouse, the amount transferred will be the amount attributed to the community spouse if it exceeds the specified limits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will provide each spouse a notice of the attribution results. The notice will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 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are governed by procedures in </w:t>
      </w:r>
      <w:hyperlink r:id="rId46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will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paragraph </w:t>
      </w:r>
      <w:hyperlink r:id="rId466">
        <w:r>
          <w:rPr>
            <w:rStyle w:val="Hyperlink"/>
            <w:rFonts w:ascii="Times New Roman" w:hAnsi="Times New Roman"/>
            <w:b w:val="false"/>
            <w:i w:val="false"/>
            <w:color w:val="000000"/>
            <w:sz w:val="22"/>
          </w:rPr>
          <w:t>75.83(2)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will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will be based on the maintenance needs allowance as provided by these rules at the time the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will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cost of an annuity will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will be no substitution for the cost of the annuity and the attribution will remain as previously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will be determined using the following calculation: the difference between the community spouse’s gross monthly income not generated by countable resources (multiplied by 12) and the minimum monthly maintenance needs allowance (multiplied by 12) will be multiplied by the annuity factor for the age of the community spouse. This amount will be substituted for the amount of resources attributed to the community spouse pursuant to subparagraph </w:t>
      </w:r>
      <w:hyperlink r:id="rId467">
        <w:r>
          <w:rPr>
            <w:rStyle w:val="Hyperlink"/>
            <w:rFonts w:ascii="Times New Roman" w:hAnsi="Times New Roman"/>
            <w:b w:val="false"/>
            <w:i w:val="false"/>
            <w:color w:val="000000"/>
            <w:sz w:val="22"/>
          </w:rPr>
          <w:t>75.82(3)</w:t>
        </w:r>
      </w:hyperlink>
      <w:r>
        <w:rPr>
          <w:rFonts w:ascii="Times New Roman" w:hAnsi="Times New Roman"/>
          <w:b w:val="false"/>
          <w:i/>
          <w:color w:val="000000"/>
          <w:sz w:val="22"/>
        </w:rPr>
        <w:t>“f”</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of married people.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facility who entered the facility on or after September 30, 1989.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month. When the institutionalized spouse is expected to stay in a medical facility less than 30 consecutive days, the resources of both spouses will be considered in determining initial Medicaid eligibility. When the institutionalized spouse is expected to be in a medical facility 30 consecutive days or more, only the resources not attributed to the community spouse according to subrule </w:t>
      </w:r>
      <w:hyperlink r:id="rId468">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will be considered in determining initial eligibility for the institutionalized spouse. 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eligibility. After the month in which the institutionalized spouse is determined eligible, no resources of the community spouse will be deemed available to the institutionalized spouse during the continuous period in which the spouse is in an institution. Resources that are owned wholly or in part by the institutionalized spouse and that are not transferred to the community spouse will be counted in determining ongoing eligibility. The resources of the institutionalized spouse will not count for ongoing eligibility to the extent that the institutionalized spouse intends to transfer and does transfer the resources to the community spouse within 90 days unless unable to effect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 The applicant can demonstrate hardship when the applicant is unable to obtain information about the community spouse’s resources after exploring all legal means. 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will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institution prior to September 30, 1989. </w:t>
      </w:r>
      <w:r>
        <w:rPr>
          <w:rFonts w:ascii="Times New Roman" w:hAnsi="Times New Roman"/>
          <w:b w:val="false"/>
          <w:i w:val="false"/>
          <w:color w:val="000000"/>
          <w:sz w:val="22"/>
        </w:rPr>
        <w:t>When one spouse is in the medical institution prior to September 30, 1989, only the resources of the institutionalized spouse will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The combined resources of both partners in a marriage who are residing in the same room in a medical institution will be subject to the resource limit for a married couple until the first of the seventh calendar month that they continuously reside in the facility. The couple may continue to be considered as a couple for Medicaid effective with the seventh month if one partner would be ineligible for Medicaid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If they live in the same facility after six months of continuous residence, they may be considered as a couple for Medicaid effective the first day of the seventh calendar month of continuous residency if one partner would be ineligible for Medicaid or would receive reduced benefits by considering them separately or if they choose to be considered together. In the month of entry into a medical institution, all resources of both spouses will be combined and will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for persons in a medical institution who have purchased and used a qualified or approved long-term care insurance policy pursuant to 191—Chapter 39 or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Medicaid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191—Chapter </w:t>
      </w:r>
      <w:hyperlink r:id="rId46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or </w:t>
      </w:r>
      <w:hyperlink r:id="rId470">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under subrule </w:t>
      </w:r>
      <w:hyperlink r:id="rId471">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xml:space="preserve">, </w:t>
      </w:r>
      <w:hyperlink r:id="rId472">
        <w:r>
          <w:rPr>
            <w:rStyle w:val="Hyperlink"/>
            <w:rFonts w:ascii="Times New Roman" w:hAnsi="Times New Roman"/>
            <w:b w:val="false"/>
            <w:i w:val="false"/>
            <w:color w:val="000000"/>
            <w:sz w:val="22"/>
          </w:rPr>
          <w:t>75.3(15)</w:t>
        </w:r>
      </w:hyperlink>
      <w:r>
        <w:rPr>
          <w:rFonts w:ascii="Times New Roman" w:hAnsi="Times New Roman"/>
          <w:b w:val="false"/>
          <w:i w:val="false"/>
          <w:color w:val="000000"/>
          <w:sz w:val="22"/>
        </w:rPr>
        <w:t xml:space="preserve">, </w:t>
      </w:r>
      <w:hyperlink r:id="rId47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or </w:t>
      </w:r>
      <w:hyperlink r:id="rId474">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 adjustment”</w:t>
      </w:r>
      <w:r>
        <w:rPr>
          <w:rFonts w:ascii="Times New Roman" w:hAnsi="Times New Roman"/>
          <w:b w:val="false"/>
          <w:i w:val="false"/>
          <w:color w:val="000000"/>
          <w:sz w:val="22"/>
        </w:rPr>
        <w:t> </w:t>
      </w:r>
      <w:r>
        <w:rPr>
          <w:rFonts w:ascii="Times New Roman" w:hAnsi="Times New Roman"/>
          <w:b w:val="false"/>
          <w:i w:val="false"/>
          <w:color w:val="000000"/>
          <w:sz w:val="22"/>
        </w:rPr>
        <w:t>means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Medicaid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477">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478">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in payment for medical institution care. </w:t>
      </w:r>
      <w:r>
        <w:rPr>
          <w:rFonts w:ascii="Times New Roman" w:hAnsi="Times New Roman"/>
          <w:b w:val="false"/>
          <w:i w:val="false"/>
          <w:color w:val="000000"/>
          <w:sz w:val="22"/>
        </w:rPr>
        <w:t>Medicaid clients are required to participate in the cost of medical institution care. However, no client participation is charged when the combination of Medicare payments and the Medicaid benefits available to qualified Medicare beneficiaries covers the cost of institutional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in determining client participation. </w:t>
      </w:r>
      <w:r>
        <w:rPr>
          <w:rFonts w:ascii="Times New Roman" w:hAnsi="Times New Roman"/>
          <w:b w:val="false"/>
          <w:i w:val="false"/>
          <w:color w:val="000000"/>
          <w:sz w:val="22"/>
        </w:rPr>
        <w:t>The department determines the amount of client participation based on the client’s total monthly income. Income is determined pursuant to the SSI program under Title XVI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-5(f)(2)(A)(i)),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MAGI-related clients. </w:t>
      </w:r>
      <w:r>
        <w:rPr>
          <w:rFonts w:ascii="Times New Roman" w:hAnsi="Times New Roman"/>
          <w:b w:val="false"/>
          <w:i w:val="false"/>
          <w:color w:val="000000"/>
          <w:sz w:val="22"/>
        </w:rPr>
        <w:t>The income of a client and family whose eligibility is MAGI-related is not available for client participation when both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has a parent or child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income is considered together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who are employed. </w:t>
      </w:r>
      <w:r>
        <w:rPr>
          <w:rFonts w:ascii="Times New Roman" w:hAnsi="Times New Roman"/>
          <w:b w:val="false"/>
          <w:i w:val="false"/>
          <w:color w:val="000000"/>
          <w:sz w:val="22"/>
        </w:rPr>
        <w:t>If a client receives SSI and is substantially gainfully employed, as determined by SSA, the client shall have the SSI and any mandatory state supplementary assistance payment exempt from client participation for the two full months after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returning home within three months. </w:t>
      </w:r>
      <w:r>
        <w:rPr>
          <w:rFonts w:ascii="Times New Roman" w:hAnsi="Times New Roman"/>
          <w:b w:val="false"/>
          <w:i w:val="false"/>
          <w:color w:val="000000"/>
          <w:sz w:val="22"/>
        </w:rPr>
        <w:t>If SSA continues a client’s SSI or federally administered state supplementary assistance payments for three months because it is expected that the client will return home within three months, these payments will be exempt from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Institutionalized spouse and community spouse. If there is a community spouse, only the institutionalized person’s income will be considered in determining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spouses institutionalized. Client participation for each partner in a marriage will be based on one-half of the couple’s combined income when the partners are considered together for eligibility. Client participation for each partner who is considered individually for eligibility will be determined individually from each person’s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The amount of client participation that a client paid under the state supplementary assistance program is not available for Medicaid client participation in the month of the client’s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Foster care recipients. </w:t>
      </w:r>
      <w:r>
        <w:rPr>
          <w:rFonts w:ascii="Times New Roman" w:hAnsi="Times New Roman"/>
          <w:b w:val="false"/>
          <w:i w:val="false"/>
          <w:color w:val="000000"/>
          <w:sz w:val="22"/>
        </w:rPr>
        <w:t>The amount of income paid for foster care for the days that a child is in foster care in the same month as entry to a medical institution is not available for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Clients receiving a VA pension. </w:t>
      </w:r>
      <w:r>
        <w:rPr>
          <w:rFonts w:ascii="Times New Roman" w:hAnsi="Times New Roman"/>
          <w:b w:val="false"/>
          <w:i w:val="false"/>
          <w:color w:val="000000"/>
          <w:sz w:val="22"/>
        </w:rPr>
        <w:t>The amount of $90 of veteran’s pension income will be exempt from client participation if the client is a veteran or a surviving spouse of a veteran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Receives a reduced pension pursuant to </w:t>
      </w:r>
      <w:r>
        <w:rPr>
          <w:rFonts w:ascii="Times New Roman" w:hAnsi="Times New Roman"/>
          <w:b w:val="false"/>
          <w:i w:val="false"/>
          <w:color w:val="000000"/>
          <w:sz w:val="22"/>
        </w:rPr>
        <w:t>38 U.S.C.</w:t>
      </w:r>
      <w:r>
        <w:rPr>
          <w:rFonts w:ascii="Times New Roman" w:hAnsi="Times New Roman"/>
          <w:b w:val="false"/>
          <w:i w:val="false"/>
          <w:color w:val="000000"/>
          <w:sz w:val="22"/>
        </w:rPr>
        <w:t xml:space="preserve"> Section 5503(d)(2);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Resides at the Iowa Veterans Home and does not have a spouse or minor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75.83(2)</w:t>
      </w:r>
      <w:r>
        <w:rPr>
          <w:rFonts w:ascii="Times New Roman" w:hAnsi="Times New Roman"/>
          <w:b w:val="false"/>
          <w:i w:val="false"/>
          <w:color w:val="000000"/>
          <w:sz w:val="22"/>
        </w:rPr>
        <w:t> </w:t>
      </w:r>
      <w:r>
        <w:rPr>
          <w:rFonts w:ascii="Times New Roman" w:hAnsi="Times New Roman"/>
          <w:b w:val="false"/>
          <w:i/>
          <w:color w:val="000000"/>
          <w:sz w:val="22"/>
        </w:rPr>
        <w:t xml:space="preserve">Allowable deductions from income. </w:t>
      </w:r>
      <w:r>
        <w:rPr>
          <w:rFonts w:ascii="Times New Roman" w:hAnsi="Times New Roman"/>
          <w:b w:val="false"/>
          <w:i w:val="false"/>
          <w:color w:val="000000"/>
          <w:sz w:val="22"/>
        </w:rPr>
        <w:t>In determining the amount of client participation, the department allows the following deductions from the client’s income, taken in the order they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Ongoing personal needs allowance. </w:t>
      </w:r>
      <w:r>
        <w:rPr>
          <w:rFonts w:ascii="Times New Roman" w:hAnsi="Times New Roman"/>
          <w:b w:val="false"/>
          <w:i w:val="false"/>
          <w:color w:val="000000"/>
          <w:sz w:val="22"/>
        </w:rPr>
        <w:t xml:space="preserve">All clients shall retain $55 of their monthly income for a personal needs allowance. Iowa Code section </w:t>
      </w:r>
      <w:hyperlink r:id="rId47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 xml:space="preserve"> contains information regarding potential state-funded personal needs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client has a trust described in Section 1917(d)(4) of the Act (including Medicaid income trusts and special needs trusts), a reasonable amount paid or set aside for necessary expenses of the trust is added to the personal needs allowance. This amount will not exceed $10 per month except with court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client has earned income, an additional $65 is added to the ongoing personal needs allowance from the earned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entry.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person. A single person will be given an allowance for stated home living expenses during the month of entry, up to the amount of the SSI benefit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Spouses entering institutions together and living together. Partners in a marriage who enter a medical institution in the same month and live in the same room will be given an allowance for stated home living expenses during the month of entry, up to the amount of the SSI benefit for a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Spouses entering an institution together but living apart. Partners in a marriage who enter a medical institution during the same month and who are considered separately for eligibility will each be given an allowance for stated home living expenses during the month of entry, up to one-half of the amount of the SSI benefit for a married couple. However, if the income of one spouse is less than one-half of the SSI benefit for a couple, the remainder of the allowance will be given to the other spouse. If the couple’s eligibility is determined together, an allowance for stated home living expenses will be given to them during the month of entry up to the SSI benefit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spouse enters a medical institution. When the second member of a married couple enters a medical institution in a later month, that spouse will be given an allowance for stated expenses during the month of entry, up to the amount of the SSI benefit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discharge. </w:t>
      </w:r>
      <w:r>
        <w:rPr>
          <w:rFonts w:ascii="Times New Roman" w:hAnsi="Times New Roman"/>
          <w:b w:val="false"/>
          <w:i w:val="false"/>
          <w:color w:val="000000"/>
          <w:sz w:val="22"/>
        </w:rPr>
        <w:t>The client will be allowed a deduction for home living expenses in the month of discharge. The amount of the deduction will be the SSI benefit for one person (or for a couple if both members are discharged in the same month). This deduction does not apply when a spouse is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spouse and other dependents.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covered. An ongoing allowance will be given for the maintenance needs of a community spouse. The allowance is limited to the extent that income of the institutionalized spouse is made available to or for the benefit of the community spouse. If there are minor or dependent children, dependent parents, or dependent siblings of either spouse who live with the community spouse, an ongoing allowance will also be given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considered. The verified gross income of the spouse and dependents will be considered in determining maintenance needs. The gross income of the spouse and dependent will include all monthly earned and unearned income and assistance from FIP, SSI, and state supplementary assistance. It will also include the proceeds of any annuity or contract for sale of real property. Otherwise, the income will be considered as the SSI program considers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of spouse. The maintenance needs of the spouse will be determined by subtracting the spouse’s gross income from the maximum amount allowed as a minimum monthly maintenance needs allowance for the community spouse by Section 1924(d)(3)(C)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-5(d)(3)(C)). (This amount is indexed for inflation annually according to the consumer price index.)</w:t>
      </w:r>
    </w:p>
    <w:p>
      <w:pPr>
        <w:spacing w:before="0" w:after="0"/>
        <w:ind w:left="120"/>
        <w:jc w:val="both"/>
      </w:pPr>
      <w:r>
        <w:rPr>
          <w:rFonts w:ascii="Times New Roman" w:hAnsi="Times New Roman"/>
          <w:b w:val="false"/>
          <w:i w:val="false"/>
          <w:color w:val="000000"/>
          <w:sz w:val="22"/>
        </w:rPr>
        <w:t>However, if either spouse has established through the appeal process that the community spouse needs income above the minimum monthly maintenance needs allowance, due to exceptional circumstances resulting in significant financial duress, an amount adequate to provide additional income as is necessary will be substituted.</w:t>
      </w:r>
    </w:p>
    <w:p>
      <w:pPr>
        <w:spacing w:before="0" w:after="0"/>
        <w:ind w:left="120"/>
        <w:jc w:val="both"/>
      </w:pPr>
      <w:r>
        <w:rPr>
          <w:rFonts w:ascii="Times New Roman" w:hAnsi="Times New Roman"/>
          <w:b w:val="false"/>
          <w:i w:val="false"/>
          <w:color w:val="000000"/>
          <w:sz w:val="22"/>
        </w:rPr>
        <w:t>Also, if a court has entered an order against an institutionalized spouse for monthly income to support the community spouse, then the community spouse income allowance will not be less than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other dependents. The maintenance needs of the other dependents will be established by subtracting each person’s gross income from 150 percent of the monthly FPL for a family of two and dividing the result by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children (without spouse). </w:t>
      </w:r>
      <w:r>
        <w:rPr>
          <w:rFonts w:ascii="Times New Roman" w:hAnsi="Times New Roman"/>
          <w:b w:val="false"/>
          <w:i w:val="false"/>
          <w:color w:val="000000"/>
          <w:sz w:val="22"/>
        </w:rPr>
        <w:t>When the client has children under the age of 21 at home, an ongoing allowance will be given to meet the children’s maintenance needs.</w:t>
      </w:r>
    </w:p>
    <w:p>
      <w:pPr>
        <w:spacing w:before="0" w:after="0"/>
        <w:ind w:left="120"/>
        <w:jc w:val="both"/>
      </w:pPr>
      <w:r>
        <w:rPr>
          <w:rFonts w:ascii="Times New Roman" w:hAnsi="Times New Roman"/>
          <w:b w:val="false"/>
          <w:i w:val="false"/>
          <w:color w:val="000000"/>
          <w:sz w:val="22"/>
        </w:rPr>
        <w:t>The income of the children is considered in determining maintenance needs. The children’s countable income will be their gross income less the disregards allowed in FIP.</w:t>
      </w:r>
    </w:p>
    <w:p>
      <w:pPr>
        <w:spacing w:before="0" w:after="0"/>
        <w:ind w:left="120"/>
        <w:jc w:val="both"/>
      </w:pPr>
      <w:r>
        <w:rPr>
          <w:rFonts w:ascii="Times New Roman" w:hAnsi="Times New Roman"/>
          <w:b w:val="false"/>
          <w:i w:val="false"/>
          <w:color w:val="000000"/>
          <w:sz w:val="22"/>
        </w:rPr>
        <w:t>The children’s maintenance needs will be determined by subtracting the children’s countable income from the FIP payment standard for that number of children. However, if the children receive FIP, no deduction is allowed for their maintenance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Client’s medical expenses. </w:t>
      </w:r>
      <w:r>
        <w:rPr>
          <w:rFonts w:ascii="Times New Roman" w:hAnsi="Times New Roman"/>
          <w:b w:val="false"/>
          <w:i w:val="false"/>
          <w:color w:val="000000"/>
          <w:sz w:val="22"/>
        </w:rPr>
        <w:t xml:space="preserve">A deduction will be allowed for the client’s incurred expenses for medical or remedial care that are not subject to payment by a third party and were not incurred for long-term care services during the imposition of a transfer of assets penalty period pursuant to rule </w:t>
      </w:r>
      <w:hyperlink r:id="rId48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This includes Medicare premiums and other health insurance premiums, deductibles, or coinsurance, and necessary medical or remedial care recognized under state law but not covered under the state Medicaid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441—75.84</w:t>
      </w:r>
      <w:r>
        <w:rPr>
          <w:rFonts w:ascii="Times New Roman" w:hAnsi="Times New Roman"/>
          <w:b/>
          <w:i w:val="false"/>
          <w:color w:val="000000"/>
          <w:sz w:val="22"/>
        </w:rPr>
        <w:t xml:space="preserve">(249A) </w:t>
      </w:r>
      <w:r>
        <w:rPr>
          <w:rFonts w:ascii="Times New Roman" w:hAnsi="Times New Roman"/>
          <w:b/>
          <w:i w:val="false"/>
          <w:color w:val="000000"/>
          <w:sz w:val="22"/>
        </w:rPr>
        <w:t xml:space="preserve">Entrance fee for continuing care retirement community or life care community. </w:t>
      </w:r>
      <w:r>
        <w:rPr>
          <w:rFonts w:ascii="Times New Roman" w:hAnsi="Times New Roman"/>
          <w:b w:val="false"/>
          <w:i w:val="false"/>
          <w:color w:val="000000"/>
          <w:sz w:val="22"/>
        </w:rPr>
        <w:t>When an individual resides in a continuing care retirement community or life care community that collects an entrance fee on admission, the entrance fee paid will be considered a resource available to the individual for purposes of determining the individual’s Medicaid eligibility and the amount of benefits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75.84(1)</w:t>
      </w:r>
      <w:r>
        <w:rPr>
          <w:rFonts w:ascii="Times New Roman" w:hAnsi="Times New Roman"/>
          <w:b w:val="false"/>
          <w:i w:val="false"/>
          <w:color w:val="000000"/>
          <w:sz w:val="22"/>
        </w:rPr>
        <w:t> </w:t>
      </w:r>
      <w:r>
        <w:rPr>
          <w:rFonts w:ascii="Times New Roman" w:hAnsi="Times New Roman"/>
          <w:b w:val="false"/>
          <w:i w:val="false"/>
          <w:color w:val="000000"/>
          <w:sz w:val="22"/>
        </w:rPr>
        <w:t>The individual has the ability to use the entrance fee, or the contract between the individual and the community provides that the entrance fee may be used to pay for care should the individual’s other resources or income be insufficient to pay for such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75.84(2)</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 refund of any remaining entrance fee when the individual dies or when the individual terminates the community contract and leaves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75.84(3)</w:t>
      </w:r>
      <w:r>
        <w:rPr>
          <w:rFonts w:ascii="Times New Roman" w:hAnsi="Times New Roman"/>
          <w:b w:val="false"/>
          <w:i w:val="false"/>
          <w:color w:val="000000"/>
          <w:sz w:val="22"/>
        </w:rPr>
        <w:t> </w:t>
      </w:r>
      <w:r>
        <w:rPr>
          <w:rFonts w:ascii="Times New Roman" w:hAnsi="Times New Roman"/>
          <w:b w:val="false"/>
          <w:i w:val="false"/>
          <w:color w:val="000000"/>
          <w:sz w:val="22"/>
        </w:rPr>
        <w:t>The entrance fee does not confer an ownership interest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441—75.85</w:t>
      </w:r>
      <w:r>
        <w:rPr>
          <w:rFonts w:ascii="Times New Roman" w:hAnsi="Times New Roman"/>
          <w:b/>
          <w:i w:val="false"/>
          <w:color w:val="000000"/>
          <w:sz w:val="22"/>
        </w:rPr>
        <w:t xml:space="preserve">(249A) </w:t>
      </w:r>
      <w:r>
        <w:rPr>
          <w:rFonts w:ascii="Times New Roman" w:hAnsi="Times New Roman"/>
          <w:b/>
          <w:i w:val="false"/>
          <w:color w:val="000000"/>
          <w:sz w:val="22"/>
        </w:rPr>
        <w:t xml:space="preserve">Disqualification for long-term care assistance due to substantial home equity. </w:t>
      </w:r>
      <w:r>
        <w:rPr>
          <w:rFonts w:ascii="Times New Roman" w:hAnsi="Times New Roman"/>
          <w:b w:val="false"/>
          <w:i w:val="false"/>
          <w:color w:val="000000"/>
          <w:sz w:val="22"/>
        </w:rPr>
        <w:t xml:space="preserve">Notwithstanding any other provision of this chapter, if an individual’s equity interest in the individual’s home exceeds the limit set annually according to subrule </w:t>
      </w:r>
      <w:hyperlink r:id="rId481">
        <w:r>
          <w:rPr>
            <w:rStyle w:val="Hyperlink"/>
            <w:rFonts w:ascii="Times New Roman" w:hAnsi="Times New Roman"/>
            <w:b w:val="false"/>
            <w:i w:val="false"/>
            <w:color w:val="000000"/>
            <w:sz w:val="22"/>
          </w:rPr>
          <w:t>75.85(1)</w:t>
        </w:r>
      </w:hyperlink>
      <w:r>
        <w:rPr>
          <w:rFonts w:ascii="Times New Roman" w:hAnsi="Times New Roman"/>
          <w:b w:val="false"/>
          <w:i w:val="false"/>
          <w:color w:val="000000"/>
          <w:sz w:val="22"/>
        </w:rPr>
        <w:t xml:space="preserve">, the individual will not be eligible for Medicaid with respect to nursing facility services or other long-term care services, except as provided in subrule </w:t>
      </w:r>
      <w:hyperlink r:id="rId482">
        <w:r>
          <w:rPr>
            <w:rStyle w:val="Hyperlink"/>
            <w:rFonts w:ascii="Times New Roman" w:hAnsi="Times New Roman"/>
            <w:b w:val="false"/>
            <w:i w:val="false"/>
            <w:color w:val="000000"/>
            <w:sz w:val="22"/>
          </w:rPr>
          <w:t>75.85(2)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75.85(1)</w:t>
      </w:r>
      <w:r>
        <w:rPr>
          <w:rFonts w:ascii="Times New Roman" w:hAnsi="Times New Roman"/>
          <w:b w:val="false"/>
          <w:i w:val="false"/>
          <w:color w:val="000000"/>
          <w:sz w:val="22"/>
        </w:rPr>
        <w:t> </w:t>
      </w:r>
      <w:r>
        <w:rPr>
          <w:rFonts w:ascii="Times New Roman" w:hAnsi="Times New Roman"/>
          <w:b w:val="false"/>
          <w:i/>
          <w:color w:val="000000"/>
          <w:sz w:val="22"/>
        </w:rPr>
        <w:t xml:space="preserve">Equity interest limit. </w:t>
      </w:r>
      <w:r>
        <w:rPr>
          <w:rFonts w:ascii="Times New Roman" w:hAnsi="Times New Roman"/>
          <w:b w:val="false"/>
          <w:i w:val="false"/>
          <w:color w:val="000000"/>
          <w:sz w:val="22"/>
        </w:rPr>
        <w:t>The limit on the equity interest in the individual’s home for purposes of this rule will be increased from year to year based on the percentage increase in the consumer price index for all urban consumers (all items; United States city average), rounded to the nearest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75.85(2)</w:t>
      </w:r>
      <w:r>
        <w:rPr>
          <w:rFonts w:ascii="Times New Roman" w:hAnsi="Times New Roman"/>
          <w:b w:val="false"/>
          <w:i w:val="false"/>
          <w:color w:val="000000"/>
          <w:sz w:val="22"/>
        </w:rPr>
        <w:t> </w:t>
      </w:r>
      <w:r>
        <w:rPr>
          <w:rFonts w:ascii="Times New Roman" w:hAnsi="Times New Roman"/>
          <w:b w:val="false"/>
          <w:i/>
          <w:color w:val="000000"/>
          <w:sz w:val="22"/>
        </w:rPr>
        <w:t xml:space="preserve">Exception to disqualification. </w:t>
      </w:r>
      <w:r>
        <w:rPr>
          <w:rFonts w:ascii="Times New Roman" w:hAnsi="Times New Roman"/>
          <w:b w:val="false"/>
          <w:i w:val="false"/>
          <w:color w:val="000000"/>
          <w:sz w:val="22"/>
        </w:rPr>
        <w:t>Disqualification based on equity interest in the individual’s home will not apply when one of the following persons is lawfully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child who is under the age of 21 or is blind or disabled as defined in Section 1614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8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12/17/73, 5/16/74, 7/1/74]</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1/31/77, Notice 12/1/76—published 2/23/77, effective 3/30/77]</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emergency 6/22/77—published 7/13/77, effective 7/1/77]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emergency 7/28/78 after Notice 4/19/78—published 8/23/78, effective 7/28/78]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without Notice 9/25/80—published 10/15/80, effective 12/1/80]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12/9/81—published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7/30/82—published 8/18/82, effective 8/1/82]</w:t>
      </w:r>
    </w:p>
    <w:p>
      <w:pPr>
        <w:spacing w:before="0" w:after="0"/>
        <w:ind w:left="120"/>
        <w:jc w:val="center"/>
      </w:pPr>
      <w:r>
        <w:rPr>
          <w:rFonts w:ascii="Times New Roman" w:hAnsi="Times New Roman"/>
          <w:b w:val="false"/>
          <w:i w:val="false"/>
          <w:color w:val="000000"/>
          <w:sz w:val="21"/>
        </w:rPr>
        <w:t>[Filed 9/23/82, Notices 6/9/82, 8/4/82—published 10/13/82, effective 12/1/82]</w:t>
      </w:r>
    </w:p>
    <w:p>
      <w:pPr>
        <w:spacing w:before="0" w:after="0"/>
        <w:ind w:left="120"/>
        <w:jc w:val="center"/>
      </w:pPr>
      <w:r>
        <w:rPr>
          <w:rFonts w:ascii="Times New Roman" w:hAnsi="Times New Roman"/>
          <w:b w:val="false"/>
          <w:i w:val="false"/>
          <w:color w:val="000000"/>
          <w:sz w:val="21"/>
        </w:rPr>
        <w:t>[Filed emergency 3/18/83—published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emergency 1/17/85—published 2/13/85, effective 1/17/85]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2/21/86, Notice 1/15/86—published 3/12/86, effective 5/1/86]</w:t>
      </w:r>
    </w:p>
    <w:p>
      <w:pPr>
        <w:spacing w:before="0" w:after="0"/>
        <w:ind w:left="120"/>
        <w:jc w:val="center"/>
      </w:pPr>
      <w:r>
        <w:rPr>
          <w:rFonts w:ascii="Times New Roman" w:hAnsi="Times New Roman"/>
          <w:b w:val="false"/>
          <w:i w:val="false"/>
          <w:color w:val="000000"/>
          <w:sz w:val="21"/>
        </w:rPr>
        <w:t>[Filed emergency 3/21/86 after Notice 2/12/86—published 4/9/86, effective 4/1/86]</w:t>
      </w:r>
    </w:p>
    <w:p>
      <w:pPr>
        <w:spacing w:before="0" w:after="0"/>
        <w:ind w:left="120"/>
        <w:jc w:val="center"/>
      </w:pPr>
      <w:r>
        <w:rPr>
          <w:rFonts w:ascii="Times New Roman" w:hAnsi="Times New Roman"/>
          <w:b w:val="false"/>
          <w:i w:val="false"/>
          <w:color w:val="000000"/>
          <w:sz w:val="21"/>
        </w:rPr>
        <w:t>[Filed emergency 4/28/86—published 5/21/86, effective 5/1/86]</w:t>
      </w:r>
    </w:p>
    <w:p>
      <w:pPr>
        <w:spacing w:before="0" w:after="0"/>
        <w:ind w:left="120"/>
        <w:jc w:val="center"/>
      </w:pPr>
      <w:r>
        <w:rPr>
          <w:rFonts w:ascii="Times New Roman" w:hAnsi="Times New Roman"/>
          <w:b w:val="false"/>
          <w:i w:val="false"/>
          <w:color w:val="000000"/>
          <w:sz w:val="21"/>
        </w:rPr>
        <w:t>[Filed emergency 8/28/86—published 9/24/86, effective 9/1/86]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without Notice 1/15/87—published 2/11/87, effective 4/1/87]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3/26/87, Notice 2/11/87—published 4/22/87, effective 6/1/87]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5/29/87 after Notice 4/22/87—published 6/17/87,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after Notice 9/24/87, Notice 8/12/87—published 10/21/87, effective 10/1/87]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emergency after Notice 10/23/87, Notice 9/9/87—published 11/18/87,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3/16/88—published 4/6/88, effective 3/16/88]</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emergency 4/22/88—published 5/18/88, effective 5/1/88]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Notices 6/29/88</w:t>
      </w:r>
      <w:r>
        <w:rPr>
          <w:rFonts w:ascii="Times New Roman" w:hAnsi="Times New Roman"/>
          <w:b w:val="false"/>
          <w:i w:val="false"/>
          <w:color w:val="000000"/>
          <w:sz w:val="14"/>
        </w:rPr>
        <w:t>◊</w:t>
      </w:r>
      <w:r>
        <w:rPr>
          <w:rFonts w:ascii="Times New Roman" w:hAnsi="Times New Roman"/>
          <w:b w:val="false"/>
          <w:i w:val="false"/>
          <w:color w:val="000000"/>
          <w:sz w:val="21"/>
        </w:rPr>
        <w:t>—published 8/24/88, effective 10/1/88]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11/14/88—published 11/30/88, effective 11/14/88]</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6/9/89 after Notice 5/3/89—published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10/10/89—published 11/1/89, effective 12/1/89]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12/19/89, Notice 11/1/89—published 1/10/90, effective 3/1/90]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without Notice 2/16/90—published 3/7/90, effective 5/1/90]</w:t>
      </w:r>
    </w:p>
    <w:p>
      <w:pPr>
        <w:spacing w:before="0" w:after="0"/>
        <w:ind w:left="120"/>
        <w:jc w:val="center"/>
      </w:pPr>
      <w:r>
        <w:rPr>
          <w:rFonts w:ascii="Times New Roman" w:hAnsi="Times New Roman"/>
          <w:b w:val="false"/>
          <w:i w:val="false"/>
          <w:color w:val="000000"/>
          <w:sz w:val="21"/>
        </w:rPr>
        <w:t>[Filed emergency 3/14/90—published 4/4/90, effective 3/14/90]</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emergency 6/20/90 after Notice 4/18/90—published 7/11/90, effective 7/1/90]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emergency 8/16/90 after Notice of 6/27/90—published 9/5/90, effective 10/1/90]</w:t>
      </w:r>
    </w:p>
    <w:p>
      <w:pPr>
        <w:spacing w:before="0" w:after="0"/>
        <w:ind w:left="120"/>
        <w:jc w:val="center"/>
      </w:pPr>
      <w:r>
        <w:rPr>
          <w:rFonts w:ascii="Times New Roman" w:hAnsi="Times New Roman"/>
          <w:b w:val="false"/>
          <w:i w:val="false"/>
          <w:color w:val="000000"/>
          <w:sz w:val="21"/>
        </w:rPr>
        <w:t>[Filed 8/16/90, Notices 6/13/90,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emergency 4/11/91—published 5/1/91, effective 4/11/91]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emergency 5/17/91 after Notice 4/3/91—published 6/12/91, effective 7/1/91]</w:t>
      </w:r>
    </w:p>
    <w:p>
      <w:pPr>
        <w:spacing w:before="0" w:after="0"/>
        <w:ind w:left="120"/>
        <w:jc w:val="center"/>
      </w:pPr>
      <w:r>
        <w:rPr>
          <w:rFonts w:ascii="Times New Roman" w:hAnsi="Times New Roman"/>
          <w:b w:val="false"/>
          <w:i w:val="false"/>
          <w:color w:val="000000"/>
          <w:sz w:val="21"/>
        </w:rPr>
        <w:t>[Filed 5/17/91, Notices 4/3/90</w:t>
      </w:r>
      <w:r>
        <w:rPr>
          <w:rFonts w:ascii="Times New Roman" w:hAnsi="Times New Roman"/>
          <w:b w:val="false"/>
          <w:i w:val="false"/>
          <w:color w:val="000000"/>
          <w:sz w:val="14"/>
        </w:rPr>
        <w:t>◊</w:t>
      </w:r>
      <w:r>
        <w:rPr>
          <w:rFonts w:ascii="Times New Roman" w:hAnsi="Times New Roman"/>
          <w:b w:val="false"/>
          <w:i w:val="false"/>
          <w:color w:val="000000"/>
          <w:sz w:val="21"/>
        </w:rPr>
        <w:t>—published 6/12/91, effective 8/1/91]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emergency 12/11/91 after Notice 10/30/91—published 1/8/92, effective 1/1/92]</w:t>
      </w:r>
    </w:p>
    <w:p>
      <w:pPr>
        <w:spacing w:before="0" w:after="0"/>
        <w:ind w:left="120"/>
        <w:jc w:val="center"/>
      </w:pPr>
      <w:r>
        <w:rPr>
          <w:rFonts w:ascii="Times New Roman" w:hAnsi="Times New Roman"/>
          <w:b w:val="false"/>
          <w:i w:val="false"/>
          <w:color w:val="000000"/>
          <w:sz w:val="21"/>
        </w:rPr>
        <w:t>[Filed 12/11/92,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11/13/91—published 2/5/92, effective 4/1/92]</w:t>
      </w:r>
    </w:p>
    <w:p>
      <w:pPr>
        <w:spacing w:before="0" w:after="0"/>
        <w:ind w:left="120"/>
        <w:jc w:val="center"/>
      </w:pPr>
      <w:r>
        <w:rPr>
          <w:rFonts w:ascii="Times New Roman" w:hAnsi="Times New Roman"/>
          <w:b w:val="false"/>
          <w:i w:val="false"/>
          <w:color w:val="000000"/>
          <w:sz w:val="21"/>
        </w:rPr>
        <w:t>[Filed 2/13/92, Notices 1/8/92</w:t>
      </w:r>
      <w:r>
        <w:rPr>
          <w:rFonts w:ascii="Times New Roman" w:hAnsi="Times New Roman"/>
          <w:b w:val="false"/>
          <w:i w:val="false"/>
          <w:color w:val="000000"/>
          <w:sz w:val="14"/>
        </w:rPr>
        <w:t>◊</w:t>
      </w:r>
      <w:r>
        <w:rPr>
          <w:rFonts w:ascii="Times New Roman" w:hAnsi="Times New Roman"/>
          <w:b w:val="false"/>
          <w:i w:val="false"/>
          <w:color w:val="000000"/>
          <w:sz w:val="21"/>
        </w:rPr>
        <w:t>—published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5/14/92 after Notice 3/18/92—published 6/10/92, effective 7/1/92]</w:t>
      </w:r>
    </w:p>
    <w:p>
      <w:pPr>
        <w:spacing w:before="0" w:after="0"/>
        <w:ind w:left="120"/>
        <w:jc w:val="center"/>
      </w:pPr>
      <w:r>
        <w:rPr>
          <w:rFonts w:ascii="Times New Roman" w:hAnsi="Times New Roman"/>
          <w:b w:val="false"/>
          <w:i w:val="false"/>
          <w:color w:val="000000"/>
          <w:sz w:val="21"/>
        </w:rPr>
        <w:t>[Filed 5/14/92, Notices 3/18/92</w:t>
      </w:r>
      <w:r>
        <w:rPr>
          <w:rFonts w:ascii="Times New Roman" w:hAnsi="Times New Roman"/>
          <w:b w:val="false"/>
          <w:i w:val="false"/>
          <w:color w:val="000000"/>
          <w:sz w:val="14"/>
        </w:rPr>
        <w:t>◊</w:t>
      </w:r>
      <w:r>
        <w:rPr>
          <w:rFonts w:ascii="Times New Roman" w:hAnsi="Times New Roman"/>
          <w:b w:val="false"/>
          <w:i w:val="false"/>
          <w:color w:val="000000"/>
          <w:sz w:val="21"/>
        </w:rPr>
        <w:t>—published 6/10/92, effective 8/1/92]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emergency 1/14/93 after Notice 10/28/92—published 2/3/93, effective 2/1/93]</w:t>
      </w:r>
    </w:p>
    <w:p>
      <w:pPr>
        <w:spacing w:before="0" w:after="0"/>
        <w:ind w:left="120"/>
        <w:jc w:val="center"/>
      </w:pPr>
      <w:r>
        <w:rPr>
          <w:rFonts w:ascii="Times New Roman" w:hAnsi="Times New Roman"/>
          <w:b w:val="false"/>
          <w:i w:val="false"/>
          <w:color w:val="000000"/>
          <w:sz w:val="21"/>
        </w:rPr>
        <w:t>[Filed 1/14/93, Notices 10/28/92, 11/25/92, 12/9/92—published 2/3/93, effective 4/1/93]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4/15/93, Notice 2/17/93—published 5/12/93, effective 7/1/93]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without Notice 12/16/93—published 1/5/94, effective 2/9/94]</w:t>
      </w:r>
    </w:p>
    <w:p>
      <w:pPr>
        <w:spacing w:before="0" w:after="0"/>
        <w:ind w:left="120"/>
        <w:jc w:val="center"/>
      </w:pPr>
      <w:r>
        <w:rPr>
          <w:rFonts w:ascii="Times New Roman" w:hAnsi="Times New Roman"/>
          <w:b w:val="false"/>
          <w:i w:val="false"/>
          <w:color w:val="000000"/>
          <w:sz w:val="21"/>
        </w:rPr>
        <w:t>[Filed 12/16/93, Notices 10/13/93, 10/27/93—published 1/5/94, effective 3/1/94]</w:t>
      </w:r>
    </w:p>
    <w:p>
      <w:pPr>
        <w:spacing w:before="0" w:after="0"/>
        <w:ind w:left="120"/>
        <w:jc w:val="center"/>
      </w:pPr>
      <w:r>
        <w:rPr>
          <w:rFonts w:ascii="Times New Roman" w:hAnsi="Times New Roman"/>
          <w:b w:val="false"/>
          <w:i w:val="false"/>
          <w:color w:val="000000"/>
          <w:sz w:val="21"/>
        </w:rPr>
        <w:t>[Filed 2/10/94, Notices 12/8/93, 1/5/94</w:t>
      </w:r>
      <w:r>
        <w:rPr>
          <w:rFonts w:ascii="Times New Roman" w:hAnsi="Times New Roman"/>
          <w:b w:val="false"/>
          <w:i w:val="false"/>
          <w:color w:val="000000"/>
          <w:sz w:val="14"/>
        </w:rPr>
        <w:t>◊</w:t>
      </w:r>
      <w:r>
        <w:rPr>
          <w:rFonts w:ascii="Times New Roman" w:hAnsi="Times New Roman"/>
          <w:b w:val="false"/>
          <w:i w:val="false"/>
          <w:color w:val="000000"/>
          <w:sz w:val="21"/>
        </w:rPr>
        <w:t>—published 3/2/94, effective 5/1/94]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5/11/94, Notice 3/16/94—published 6/8/94, effective 8/1/94]</w:t>
      </w:r>
    </w:p>
    <w:p>
      <w:pPr>
        <w:spacing w:before="0" w:after="0"/>
        <w:ind w:left="120"/>
        <w:jc w:val="center"/>
      </w:pPr>
      <w:r>
        <w:rPr>
          <w:rFonts w:ascii="Times New Roman" w:hAnsi="Times New Roman"/>
          <w:b w:val="false"/>
          <w:i w:val="false"/>
          <w:color w:val="000000"/>
          <w:sz w:val="21"/>
        </w:rPr>
        <w:t>[Filed 6/16/94, Notice 4/27/94—published 7/6/94, effective 9/1/94]</w:t>
      </w:r>
    </w:p>
    <w:p>
      <w:pPr>
        <w:spacing w:before="0" w:after="0"/>
        <w:ind w:left="120"/>
        <w:jc w:val="center"/>
      </w:pPr>
      <w:r>
        <w:rPr>
          <w:rFonts w:ascii="Times New Roman" w:hAnsi="Times New Roman"/>
          <w:b w:val="false"/>
          <w:i w:val="false"/>
          <w:color w:val="000000"/>
          <w:sz w:val="21"/>
        </w:rPr>
        <w:t>[Filed 9/15/94, Notice 8/3/94—published 10/12/94, effective 11/16/94]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Notices 10/26/94, 11/9/94—published 1/4/95, effective 3/1/95]</w:t>
      </w:r>
    </w:p>
    <w:p>
      <w:pPr>
        <w:spacing w:before="0" w:after="0"/>
        <w:ind w:left="120"/>
        <w:jc w:val="center"/>
      </w:pPr>
      <w:r>
        <w:rPr>
          <w:rFonts w:ascii="Times New Roman" w:hAnsi="Times New Roman"/>
          <w:b w:val="false"/>
          <w:i w:val="false"/>
          <w:color w:val="000000"/>
          <w:sz w:val="21"/>
        </w:rPr>
        <w:t>[Filed 2/16/95, Notices 11/23/94, 12/21/94, 1/4/95—published 3/15/95, effective 5/1/95]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Notices 9/27/95, 10/11/95—published 12/6/95, effective 2/1/96]</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4/10/96, Notice 2/14/96—published 5/8/96, effective 7/1/96]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emergency 12/12/96—published 1/1/97, effective 1/1/97]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12/12/96, Notices 9/11/96, 10/9/96—published 1/1/97, effective 3/1/97]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emergency 12/10/97 after Notices 10/22/97, 11/5/97—published 12/31/97, effective 1/1/98]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2/11/98, Notice 12/31/97—published 3/11/98,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7/15/98, Notices 6/3/98—published 8/12/98,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3/10/99, Notice 1/27/99—published 4/7/99, effective 7/1/99]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5/14/99, Notice 4/7/99—published 6/2/99, effective 8/1/99]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11/10/99 after Notice 10/6/99—published 12/1/99, effective 12/1/99]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12/8/99, Notice 11/3/99—published 12/29/99, effective 2/2/00]</w:t>
      </w:r>
    </w:p>
    <w:p>
      <w:pPr>
        <w:spacing w:before="0" w:after="0"/>
        <w:ind w:left="120"/>
        <w:jc w:val="center"/>
      </w:pPr>
      <w:r>
        <w:rPr>
          <w:rFonts w:ascii="Times New Roman" w:hAnsi="Times New Roman"/>
          <w:b w:val="false"/>
          <w:i w:val="false"/>
          <w:color w:val="000000"/>
          <w:sz w:val="21"/>
        </w:rPr>
        <w:t>[Filed 12/8/99, Notice 10/6/99—published 12/29/99, effective 3/1/00]</w:t>
      </w:r>
    </w:p>
    <w:p>
      <w:pPr>
        <w:spacing w:before="0" w:after="0"/>
        <w:ind w:left="120"/>
        <w:jc w:val="center"/>
      </w:pPr>
      <w:r>
        <w:rPr>
          <w:rFonts w:ascii="Times New Roman" w:hAnsi="Times New Roman"/>
          <w:b w:val="false"/>
          <w:i w:val="false"/>
          <w:color w:val="000000"/>
          <w:sz w:val="21"/>
        </w:rPr>
        <w:t>[Filed 2/9/00, Notice 12/29/99—published 3/8/00, effective 5/1/00]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emergency 6/8/00 after Notice 4/19/00—published 6/28/00, effective 7/1/00]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3/13/02, Notice 1/23/02—published 4/3/02, effective 6/1/02]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12/12/02—published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1/9/03 after Notice 11/27/02—published 2/5/03, effective 2/1/03]</w:t>
      </w:r>
    </w:p>
    <w:p>
      <w:pPr>
        <w:spacing w:before="0" w:after="0"/>
        <w:ind w:left="120"/>
        <w:jc w:val="center"/>
      </w:pPr>
      <w:r>
        <w:rPr>
          <w:rFonts w:ascii="Times New Roman" w:hAnsi="Times New Roman"/>
          <w:b w:val="false"/>
          <w:i w:val="false"/>
          <w:color w:val="000000"/>
          <w:sz w:val="21"/>
        </w:rPr>
        <w:t>[Filed 1/9/03, Notice 11/27/02—published 2/5/03, effective 4/1/03]</w:t>
      </w:r>
    </w:p>
    <w:p>
      <w:pPr>
        <w:spacing w:before="0" w:after="0"/>
        <w:ind w:left="120"/>
        <w:jc w:val="center"/>
      </w:pPr>
      <w:r>
        <w:rPr>
          <w:rFonts w:ascii="Times New Roman" w:hAnsi="Times New Roman"/>
          <w:b w:val="false"/>
          <w:i w:val="false"/>
          <w:color w:val="000000"/>
          <w:sz w:val="21"/>
        </w:rPr>
        <w:t>[Filed emergency 3/14/03—published 4/2/03, effective 4/1/03]</w:t>
      </w:r>
    </w:p>
    <w:p>
      <w:pPr>
        <w:spacing w:before="0" w:after="0"/>
        <w:ind w:left="120"/>
        <w:jc w:val="center"/>
      </w:pPr>
      <w:r>
        <w:rPr>
          <w:rFonts w:ascii="Times New Roman" w:hAnsi="Times New Roman"/>
          <w:b w:val="false"/>
          <w:i w:val="false"/>
          <w:color w:val="000000"/>
          <w:sz w:val="21"/>
        </w:rPr>
        <w:t>[Filed without Notice 5/16/03—published 6/11/03, effective 7/16/03]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10/10/03]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3/11/04—published 3/31/04, effective 4/1/04]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9/23/04 after Notice 7/7/04—published 10/13/04, effective 10/1/04]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10/14/04, Notice 8/4/04—published 11/10/04, effective 1/1/05]</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emergency 7/15/05 after Notice 5/11/05—published 8/3/05, effective 8/1/05]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emergency 1/12/06 after Notice 11/23/05—published 2/1/06, effective 2/1/06]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without Notice 4/17/06—published 5/10/06, effective 7/1/06]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emergency 6/16/06 after Notice 5/10/06—published 7/5/06, effective 7/1/06]</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12/13/06, Notice 7/5/06—published 1/3/07, effective 2/7/07]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6/13/07—published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6/15/07—published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9/12/07, Notice 7/4/07—published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10/10/07 after Notice 8/29/07—published 11/7/07, effective 11/1/07]</w:t>
      </w:r>
    </w:p>
    <w:p>
      <w:pPr>
        <w:spacing w:before="0" w:after="0"/>
        <w:ind w:left="120"/>
        <w:jc w:val="center"/>
      </w:pPr>
      <w:r>
        <w:rPr>
          <w:rFonts w:ascii="Times New Roman" w:hAnsi="Times New Roman"/>
          <w:b w:val="false"/>
          <w:i w:val="false"/>
          <w:color w:val="000000"/>
          <w:sz w:val="21"/>
        </w:rPr>
        <w:t>[Filed 12/12/07, Notice 7/4/07—published 1/2/08, effective 2/6/08]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1/9/08 after Notice 12/5/07—published 1/30/08,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7546B</w:t>
      </w:r>
      <w:r>
        <w:rPr>
          <w:rFonts w:ascii="Times New Roman" w:hAnsi="Times New Roman"/>
          <w:b w:val="false"/>
          <w:i w:val="false"/>
          <w:color w:val="000000"/>
          <w:sz w:val="21"/>
        </w:rPr>
        <w:t xml:space="preserve"> (Notice ARC 7356B,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7834B</w:t>
      </w:r>
      <w:r>
        <w:rPr>
          <w:rFonts w:ascii="Times New Roman" w:hAnsi="Times New Roman"/>
          <w:b w:val="false"/>
          <w:i w:val="false"/>
          <w:color w:val="000000"/>
          <w:sz w:val="21"/>
        </w:rPr>
        <w:t xml:space="preserve"> (Notice ARC 7630B, IAB 3/11/09)</w:t>
      </w:r>
      <w:r>
        <w:rPr>
          <w:rFonts w:ascii="Times New Roman" w:hAnsi="Times New Roman"/>
          <w:b w:val="false"/>
          <w:i w:val="false"/>
          <w:color w:val="000000"/>
          <w:sz w:val="21"/>
        </w:rPr>
        <w:t>, IAB 6/3/09, effective 7/8/09]</w:t>
      </w:r>
      <w:r>
        <w:br/>
      </w:r>
      <w:r>
        <w:rPr>
          <w:rFonts w:ascii="Times New Roman" w:hAnsi="Times New Roman"/>
          <w:b w:val="false"/>
          <w:i w:val="false"/>
          <w:color w:val="000000"/>
          <w:sz w:val="21"/>
        </w:rPr>
        <w:t>[Filed ARC 7833B</w:t>
      </w:r>
      <w:r>
        <w:rPr>
          <w:rFonts w:ascii="Times New Roman" w:hAnsi="Times New Roman"/>
          <w:b w:val="false"/>
          <w:i w:val="false"/>
          <w:color w:val="000000"/>
          <w:sz w:val="21"/>
        </w:rPr>
        <w:t xml:space="preserve"> (Notice ARC 7629B, IAB 3/11/09)</w:t>
      </w:r>
      <w:r>
        <w:rPr>
          <w:rFonts w:ascii="Times New Roman" w:hAnsi="Times New Roman"/>
          <w:b w:val="false"/>
          <w:i w:val="false"/>
          <w:color w:val="000000"/>
          <w:sz w:val="21"/>
        </w:rPr>
        <w:t>, IAB 6/3/09, effective 8/1/09]</w:t>
      </w:r>
    </w:p>
    <w:p>
      <w:pPr>
        <w:spacing w:before="0" w:after="0"/>
        <w:ind w:left="120"/>
        <w:jc w:val="center"/>
      </w:pPr>
      <w:r>
        <w:rPr>
          <w:rFonts w:ascii="Times New Roman" w:hAnsi="Times New Roman"/>
          <w:b w:val="false"/>
          <w:i w:val="false"/>
          <w:color w:val="000000"/>
          <w:sz w:val="21"/>
        </w:rPr>
        <w:t>[Filed Emergency ARC 7929B, IAB 7/1/09, effective 7/1/09]</w:t>
      </w:r>
      <w:r>
        <w:br/>
      </w:r>
      <w:r>
        <w:rPr>
          <w:rFonts w:ascii="Times New Roman" w:hAnsi="Times New Roman"/>
          <w:b w:val="false"/>
          <w:i w:val="false"/>
          <w:color w:val="000000"/>
          <w:sz w:val="21"/>
        </w:rPr>
        <w:t>[Filed Emergency ARC 7931B, IAB 7/1/09, effective 7/1/09]</w:t>
      </w:r>
      <w:r>
        <w:br/>
      </w:r>
      <w:r>
        <w:rPr>
          <w:rFonts w:ascii="Times New Roman" w:hAnsi="Times New Roman"/>
          <w:b w:val="false"/>
          <w:i w:val="false"/>
          <w:color w:val="000000"/>
          <w:sz w:val="21"/>
        </w:rPr>
        <w:t>[Filed Emergency ARC 7932B, IAB 7/1/09, effective 7/1/09]</w:t>
      </w:r>
      <w:r>
        <w:br/>
      </w:r>
      <w:r>
        <w:rPr>
          <w:rFonts w:ascii="Times New Roman" w:hAnsi="Times New Roman"/>
          <w:b w:val="false"/>
          <w:i w:val="false"/>
          <w:color w:val="000000"/>
          <w:sz w:val="21"/>
        </w:rPr>
        <w:t>[Filed ARC 7935B</w:t>
      </w:r>
      <w:r>
        <w:rPr>
          <w:rFonts w:ascii="Times New Roman" w:hAnsi="Times New Roman"/>
          <w:b w:val="false"/>
          <w:i w:val="false"/>
          <w:color w:val="000000"/>
          <w:sz w:val="21"/>
        </w:rPr>
        <w:t xml:space="preserve"> (Notice ARC 7718B,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8095B</w:t>
      </w:r>
      <w:r>
        <w:rPr>
          <w:rFonts w:ascii="Times New Roman" w:hAnsi="Times New Roman"/>
          <w:b w:val="false"/>
          <w:i w:val="false"/>
          <w:color w:val="000000"/>
          <w:sz w:val="21"/>
        </w:rPr>
        <w:t xml:space="preserve"> (Notice ARC 7930B, IAB 7/1/09)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8096B</w:t>
      </w:r>
      <w:r>
        <w:rPr>
          <w:rFonts w:ascii="Times New Roman" w:hAnsi="Times New Roman"/>
          <w:b w:val="false"/>
          <w:i w:val="false"/>
          <w:color w:val="000000"/>
          <w:sz w:val="21"/>
        </w:rPr>
        <w:t xml:space="preserve"> (Notice ARC 7934B,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r>
        <w:br/>
      </w:r>
      <w:r>
        <w:rPr>
          <w:rFonts w:ascii="Times New Roman" w:hAnsi="Times New Roman"/>
          <w:b w:val="false"/>
          <w:i w:val="false"/>
          <w:color w:val="000000"/>
          <w:sz w:val="21"/>
        </w:rPr>
        <w:t>[Filed Emergency After Notice ARC 8261B, IAB 11/4/09, effective 10/15/09]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8443B</w:t>
      </w:r>
      <w:r>
        <w:rPr>
          <w:rFonts w:ascii="Times New Roman" w:hAnsi="Times New Roman"/>
          <w:b w:val="false"/>
          <w:i w:val="false"/>
          <w:color w:val="000000"/>
          <w:sz w:val="21"/>
        </w:rPr>
        <w:t xml:space="preserve"> (Notice ARC 8220B, IAB 10/7/09)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8444B</w:t>
      </w:r>
      <w:r>
        <w:rPr>
          <w:rFonts w:ascii="Times New Roman" w:hAnsi="Times New Roman"/>
          <w:b w:val="false"/>
          <w:i w:val="false"/>
          <w:color w:val="000000"/>
          <w:sz w:val="21"/>
        </w:rPr>
        <w:t xml:space="preserve"> (Notice ARC 8221B,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8503B</w:t>
      </w:r>
      <w:r>
        <w:rPr>
          <w:rFonts w:ascii="Times New Roman" w:hAnsi="Times New Roman"/>
          <w:b w:val="false"/>
          <w:i w:val="false"/>
          <w:color w:val="000000"/>
          <w:sz w:val="21"/>
        </w:rPr>
        <w:t xml:space="preserve"> (Notice ARC 8311B, IAB 11/18/09)</w:t>
      </w:r>
      <w:r>
        <w:rPr>
          <w:rFonts w:ascii="Times New Roman" w:hAnsi="Times New Roman"/>
          <w:b w:val="false"/>
          <w:i w:val="false"/>
          <w:color w:val="000000"/>
          <w:sz w:val="21"/>
        </w:rPr>
        <w:t>, IAB 2/10/10, effective 1/13/10]</w:t>
      </w:r>
      <w:r>
        <w:br/>
      </w: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Without Notice ARC 8713B, IAB 5/5/10, effective 8/1/10]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r>
        <w:br/>
      </w:r>
      <w:r>
        <w:rPr>
          <w:rFonts w:ascii="Times New Roman" w:hAnsi="Times New Roman"/>
          <w:b w:val="false"/>
          <w:i w:val="false"/>
          <w:color w:val="000000"/>
          <w:sz w:val="21"/>
        </w:rPr>
        <w:t>[Filed ARC 8785B</w:t>
      </w:r>
      <w:r>
        <w:rPr>
          <w:rFonts w:ascii="Times New Roman" w:hAnsi="Times New Roman"/>
          <w:b w:val="false"/>
          <w:i w:val="false"/>
          <w:color w:val="000000"/>
          <w:sz w:val="21"/>
        </w:rPr>
        <w:t xml:space="preserve"> (Notice ARC 8619B, IAB 3/24/10)</w:t>
      </w:r>
      <w:r>
        <w:rPr>
          <w:rFonts w:ascii="Times New Roman" w:hAnsi="Times New Roman"/>
          <w:b w:val="false"/>
          <w:i w:val="false"/>
          <w:color w:val="000000"/>
          <w:sz w:val="21"/>
        </w:rPr>
        <w:t>, IAB 6/2/10, effective 8/1/10]</w:t>
      </w:r>
    </w:p>
    <w:p>
      <w:pPr>
        <w:spacing w:before="0" w:after="0"/>
        <w:ind w:left="120"/>
        <w:jc w:val="center"/>
      </w:pPr>
      <w:r>
        <w:rPr>
          <w:rFonts w:ascii="Times New Roman" w:hAnsi="Times New Roman"/>
          <w:b w:val="false"/>
          <w:i w:val="false"/>
          <w:color w:val="000000"/>
          <w:sz w:val="21"/>
        </w:rPr>
        <w:t>[Filed Emergency ARC 8898B, IAB 6/30/10, effective 7/1/10]</w:t>
      </w:r>
      <w:r>
        <w:br/>
      </w:r>
      <w:r>
        <w:rPr>
          <w:rFonts w:ascii="Times New Roman" w:hAnsi="Times New Roman"/>
          <w:b w:val="false"/>
          <w:i w:val="false"/>
          <w:color w:val="000000"/>
          <w:sz w:val="21"/>
        </w:rPr>
        <w:t>[Filed ARC 8897B</w:t>
      </w:r>
      <w:r>
        <w:rPr>
          <w:rFonts w:ascii="Times New Roman" w:hAnsi="Times New Roman"/>
          <w:b w:val="false"/>
          <w:i w:val="false"/>
          <w:color w:val="000000"/>
          <w:sz w:val="21"/>
        </w:rPr>
        <w:t xml:space="preserve"> (Notice ARC 8705B,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r>
        <w:br/>
      </w:r>
      <w:r>
        <w:rPr>
          <w:rFonts w:ascii="Times New Roman" w:hAnsi="Times New Roman"/>
          <w:b w:val="false"/>
          <w:i w:val="false"/>
          <w:color w:val="000000"/>
          <w:sz w:val="21"/>
        </w:rPr>
        <w:t>[Filed ARC 9044B</w:t>
      </w:r>
      <w:r>
        <w:rPr>
          <w:rFonts w:ascii="Times New Roman" w:hAnsi="Times New Roman"/>
          <w:b w:val="false"/>
          <w:i w:val="false"/>
          <w:color w:val="000000"/>
          <w:sz w:val="21"/>
        </w:rPr>
        <w:t xml:space="preserve"> (Notice ARC 8864B,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9404B</w:t>
      </w:r>
      <w:r>
        <w:rPr>
          <w:rFonts w:ascii="Times New Roman" w:hAnsi="Times New Roman"/>
          <w:b w:val="false"/>
          <w:i w:val="false"/>
          <w:color w:val="000000"/>
          <w:sz w:val="21"/>
        </w:rPr>
        <w:t xml:space="preserve"> (Notice ARC 9277B, IAB 12/15/10)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Emergency ARC 9582B, IAB 6/29/11, effective 7/1/11]</w:t>
      </w:r>
      <w:r>
        <w:br/>
      </w:r>
      <w:r>
        <w:rPr>
          <w:rFonts w:ascii="Times New Roman" w:hAnsi="Times New Roman"/>
          <w:b w:val="false"/>
          <w:i w:val="false"/>
          <w:color w:val="000000"/>
          <w:sz w:val="21"/>
        </w:rPr>
        <w:t>[Filed ARC 9581B</w:t>
      </w:r>
      <w:r>
        <w:rPr>
          <w:rFonts w:ascii="Times New Roman" w:hAnsi="Times New Roman"/>
          <w:b w:val="false"/>
          <w:i w:val="false"/>
          <w:color w:val="000000"/>
          <w:sz w:val="21"/>
        </w:rPr>
        <w:t xml:space="preserve"> (Notice ARC 9479B,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Emergency ARC 9647B, IAB 8/10/11, effective 8/1/11]</w:t>
      </w:r>
    </w:p>
    <w:p>
      <w:pPr>
        <w:spacing w:before="0" w:after="0"/>
        <w:ind w:left="120"/>
        <w:jc w:val="center"/>
      </w:pPr>
      <w:r>
        <w:rPr>
          <w:rFonts w:ascii="Times New Roman" w:hAnsi="Times New Roman"/>
          <w:b w:val="false"/>
          <w:i w:val="false"/>
          <w:color w:val="000000"/>
          <w:sz w:val="21"/>
        </w:rPr>
        <w:t>[Filed Emergency ARC 9696B, IAB 9/7/11, effective 9/1/11]</w:t>
      </w:r>
    </w:p>
    <w:p>
      <w:pPr>
        <w:spacing w:before="0" w:after="0"/>
        <w:ind w:left="120"/>
        <w:jc w:val="center"/>
      </w:pPr>
      <w:r>
        <w:rPr>
          <w:rFonts w:ascii="Times New Roman" w:hAnsi="Times New Roman"/>
          <w:b w:val="false"/>
          <w:i w:val="false"/>
          <w:color w:val="000000"/>
          <w:sz w:val="21"/>
        </w:rPr>
        <w:t>[Filed ARC 9881B</w:t>
      </w:r>
      <w:r>
        <w:rPr>
          <w:rFonts w:ascii="Times New Roman" w:hAnsi="Times New Roman"/>
          <w:b w:val="false"/>
          <w:i w:val="false"/>
          <w:color w:val="000000"/>
          <w:sz w:val="21"/>
        </w:rPr>
        <w:t xml:space="preserve"> (Notice ARC 9697B,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9956B</w:t>
      </w:r>
      <w:r>
        <w:rPr>
          <w:rFonts w:ascii="Times New Roman" w:hAnsi="Times New Roman"/>
          <w:b w:val="false"/>
          <w:i w:val="false"/>
          <w:color w:val="000000"/>
          <w:sz w:val="21"/>
        </w:rPr>
        <w:t xml:space="preserve"> (Notice ARC 9648B, IAB 8/10/11)</w:t>
      </w:r>
      <w:r>
        <w:rPr>
          <w:rFonts w:ascii="Times New Roman" w:hAnsi="Times New Roman"/>
          <w:b w:val="false"/>
          <w:i w:val="false"/>
          <w:color w:val="000000"/>
          <w:sz w:val="21"/>
        </w:rPr>
        <w:t>, IAB 1/11/12, effective 1/1/12]</w:t>
      </w:r>
      <w:r>
        <w:br/>
      </w:r>
      <w:r>
        <w:rPr>
          <w:rFonts w:ascii="Times New Roman" w:hAnsi="Times New Roman"/>
          <w:b w:val="false"/>
          <w:i w:val="false"/>
          <w:color w:val="000000"/>
          <w:sz w:val="21"/>
        </w:rPr>
        <w:t>[Filed Emergency After Notice ARC 9957B</w:t>
      </w:r>
      <w:r>
        <w:rPr>
          <w:rFonts w:ascii="Times New Roman" w:hAnsi="Times New Roman"/>
          <w:b w:val="false"/>
          <w:i w:val="false"/>
          <w:color w:val="000000"/>
          <w:sz w:val="21"/>
        </w:rPr>
        <w:t xml:space="preserve"> (Notice ARC 9804B, IAB 10/19/11)</w:t>
      </w:r>
      <w:r>
        <w:rPr>
          <w:rFonts w:ascii="Times New Roman" w:hAnsi="Times New Roman"/>
          <w:b w:val="false"/>
          <w:i w:val="false"/>
          <w:color w:val="000000"/>
          <w:sz w:val="21"/>
        </w:rPr>
        <w:t>, IAB 1/11/12, effective 1/1/12]</w:t>
      </w:r>
    </w:p>
    <w:p>
      <w:pPr>
        <w:spacing w:before="0" w:after="0"/>
        <w:ind w:left="120"/>
        <w:jc w:val="center"/>
      </w:pPr>
      <w:r>
        <w:rPr>
          <w:rFonts w:ascii="Times New Roman" w:hAnsi="Times New Roman"/>
          <w:b w:val="false"/>
          <w:i w:val="false"/>
          <w:color w:val="000000"/>
          <w:sz w:val="21"/>
        </w:rPr>
        <w:t>[Filed ARC 0149C</w:t>
      </w:r>
      <w:r>
        <w:rPr>
          <w:rFonts w:ascii="Times New Roman" w:hAnsi="Times New Roman"/>
          <w:b w:val="false"/>
          <w:i w:val="false"/>
          <w:color w:val="000000"/>
          <w:sz w:val="21"/>
        </w:rPr>
        <w:t xml:space="preserve"> (Notice ARC 0047C,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ARC 0192C, IAB 7/11/12, effective 7/1/12]</w:t>
      </w:r>
    </w:p>
    <w:p>
      <w:pPr>
        <w:spacing w:before="0" w:after="0"/>
        <w:ind w:left="120"/>
        <w:jc w:val="center"/>
      </w:pPr>
      <w:r>
        <w:rPr>
          <w:rFonts w:ascii="Times New Roman" w:hAnsi="Times New Roman"/>
          <w:b w:val="false"/>
          <w:i w:val="false"/>
          <w:color w:val="000000"/>
          <w:sz w:val="21"/>
        </w:rPr>
        <w:t>[Filed ARC 0579C</w:t>
      </w:r>
      <w:r>
        <w:rPr>
          <w:rFonts w:ascii="Times New Roman" w:hAnsi="Times New Roman"/>
          <w:b w:val="false"/>
          <w:i w:val="false"/>
          <w:color w:val="000000"/>
          <w:sz w:val="21"/>
        </w:rPr>
        <w:t xml:space="preserve"> (Notice ARC 0432C,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Emergency After Notice ARC 0822C</w:t>
      </w:r>
      <w:r>
        <w:rPr>
          <w:rFonts w:ascii="Times New Roman" w:hAnsi="Times New Roman"/>
          <w:b w:val="false"/>
          <w:i w:val="false"/>
          <w:color w:val="000000"/>
          <w:sz w:val="21"/>
        </w:rPr>
        <w:t xml:space="preserve"> (Notice ARC 0690C,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0821C</w:t>
      </w:r>
      <w:r>
        <w:rPr>
          <w:rFonts w:ascii="Times New Roman" w:hAnsi="Times New Roman"/>
          <w:b w:val="false"/>
          <w:i w:val="false"/>
          <w:color w:val="000000"/>
          <w:sz w:val="21"/>
        </w:rPr>
        <w:t xml:space="preserve"> (Notice ARC 0691C,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0820C</w:t>
      </w:r>
      <w:r>
        <w:rPr>
          <w:rFonts w:ascii="Times New Roman" w:hAnsi="Times New Roman"/>
          <w:b w:val="false"/>
          <w:i w:val="false"/>
          <w:color w:val="000000"/>
          <w:sz w:val="21"/>
        </w:rPr>
        <w:t xml:space="preserve"> (Notice ARC 0668C, IAB 4/3/13)</w:t>
      </w:r>
      <w:r>
        <w:rPr>
          <w:rFonts w:ascii="Times New Roman" w:hAnsi="Times New Roman"/>
          <w:b w:val="false"/>
          <w:i w:val="false"/>
          <w:color w:val="000000"/>
          <w:sz w:val="21"/>
        </w:rPr>
        <w:t>, IAB 7/10/13, effective 8/1/13]</w:t>
      </w:r>
    </w:p>
    <w:p>
      <w:pPr>
        <w:spacing w:before="0" w:after="0"/>
        <w:ind w:left="120"/>
        <w:jc w:val="center"/>
      </w:pPr>
      <w:r>
        <w:rPr>
          <w:rFonts w:ascii="Times New Roman" w:hAnsi="Times New Roman"/>
          <w:b w:val="false"/>
          <w:i w:val="false"/>
          <w:color w:val="000000"/>
          <w:sz w:val="21"/>
        </w:rPr>
        <w:t>[Filed ARC 0990C</w:t>
      </w:r>
      <w:r>
        <w:rPr>
          <w:rFonts w:ascii="Times New Roman" w:hAnsi="Times New Roman"/>
          <w:b w:val="false"/>
          <w:i w:val="false"/>
          <w:color w:val="000000"/>
          <w:sz w:val="21"/>
        </w:rPr>
        <w:t xml:space="preserve"> (Notice ARC 0746C, IAB 5/15/13)</w:t>
      </w:r>
      <w:r>
        <w:rPr>
          <w:rFonts w:ascii="Times New Roman" w:hAnsi="Times New Roman"/>
          <w:b w:val="false"/>
          <w:i w:val="false"/>
          <w:color w:val="000000"/>
          <w:sz w:val="21"/>
        </w:rPr>
        <w:t>, IAB 9/4/13, effective 1/1/14]</w:t>
      </w:r>
    </w:p>
    <w:p>
      <w:pPr>
        <w:spacing w:before="0" w:after="0"/>
        <w:ind w:left="120"/>
        <w:jc w:val="center"/>
      </w:pPr>
      <w:r>
        <w:rPr>
          <w:rFonts w:ascii="Times New Roman" w:hAnsi="Times New Roman"/>
          <w:b w:val="false"/>
          <w:i w:val="false"/>
          <w:color w:val="000000"/>
          <w:sz w:val="21"/>
        </w:rPr>
        <w:t>[Filed Emergency After Notice ARC 1134C</w:t>
      </w:r>
      <w:r>
        <w:rPr>
          <w:rFonts w:ascii="Times New Roman" w:hAnsi="Times New Roman"/>
          <w:b w:val="false"/>
          <w:i w:val="false"/>
          <w:color w:val="000000"/>
          <w:sz w:val="21"/>
        </w:rPr>
        <w:t xml:space="preserve"> (Notice ARC 0971C,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1212C, IAB 12/11/13, effective 1/1/14]</w:t>
      </w:r>
    </w:p>
    <w:p>
      <w:pPr>
        <w:spacing w:before="0" w:after="0"/>
        <w:ind w:left="120"/>
        <w:jc w:val="center"/>
      </w:pPr>
      <w:r>
        <w:rPr>
          <w:rFonts w:ascii="Times New Roman" w:hAnsi="Times New Roman"/>
          <w:b w:val="false"/>
          <w:i w:val="false"/>
          <w:color w:val="000000"/>
          <w:sz w:val="21"/>
        </w:rPr>
        <w:t>[Filed Emergency ARC 1266C, IAB 1/8/14, effective 1/1/14]</w:t>
      </w:r>
    </w:p>
    <w:p>
      <w:pPr>
        <w:spacing w:before="0" w:after="0"/>
        <w:ind w:left="120"/>
        <w:jc w:val="center"/>
      </w:pPr>
      <w:r>
        <w:rPr>
          <w:rFonts w:ascii="Times New Roman" w:hAnsi="Times New Roman"/>
          <w:b w:val="false"/>
          <w:i w:val="false"/>
          <w:color w:val="000000"/>
          <w:sz w:val="21"/>
        </w:rPr>
        <w:t>[Filed ARC 1355C</w:t>
      </w:r>
      <w:r>
        <w:rPr>
          <w:rFonts w:ascii="Times New Roman" w:hAnsi="Times New Roman"/>
          <w:b w:val="false"/>
          <w:i w:val="false"/>
          <w:color w:val="000000"/>
          <w:sz w:val="21"/>
        </w:rPr>
        <w:t xml:space="preserve"> (Notice ARC 1265C, IAB 1/8/14)</w:t>
      </w:r>
      <w:r>
        <w:rPr>
          <w:rFonts w:ascii="Times New Roman" w:hAnsi="Times New Roman"/>
          <w:b w:val="false"/>
          <w:i w:val="false"/>
          <w:color w:val="000000"/>
          <w:sz w:val="21"/>
        </w:rPr>
        <w:t>, IAB 3/5/14, effective 4/9/14]</w:t>
      </w:r>
      <w:r>
        <w:br/>
      </w:r>
      <w:r>
        <w:rPr>
          <w:rFonts w:ascii="Times New Roman" w:hAnsi="Times New Roman"/>
          <w:b w:val="false"/>
          <w:i w:val="false"/>
          <w:color w:val="000000"/>
          <w:sz w:val="21"/>
        </w:rPr>
        <w:t>[Filed ARC 1356C</w:t>
      </w:r>
      <w:r>
        <w:rPr>
          <w:rFonts w:ascii="Times New Roman" w:hAnsi="Times New Roman"/>
          <w:b w:val="false"/>
          <w:i w:val="false"/>
          <w:color w:val="000000"/>
          <w:sz w:val="21"/>
        </w:rPr>
        <w:t xml:space="preserve"> (Notice ARC 1211C,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1447C</w:t>
      </w:r>
      <w:r>
        <w:rPr>
          <w:rFonts w:ascii="Times New Roman" w:hAnsi="Times New Roman"/>
          <w:b w:val="false"/>
          <w:i w:val="false"/>
          <w:color w:val="000000"/>
          <w:sz w:val="21"/>
        </w:rPr>
        <w:t xml:space="preserve"> (Notice ARC 1368C,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1484C</w:t>
      </w:r>
      <w:r>
        <w:rPr>
          <w:rFonts w:ascii="Times New Roman" w:hAnsi="Times New Roman"/>
          <w:b w:val="false"/>
          <w:i w:val="false"/>
          <w:color w:val="000000"/>
          <w:sz w:val="21"/>
        </w:rPr>
        <w:t xml:space="preserve"> (Notice ARC 1415C,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Emergency After Notice ARC 1483C</w:t>
      </w:r>
      <w:r>
        <w:rPr>
          <w:rFonts w:ascii="Times New Roman" w:hAnsi="Times New Roman"/>
          <w:b w:val="false"/>
          <w:i w:val="false"/>
          <w:color w:val="000000"/>
          <w:sz w:val="21"/>
        </w:rPr>
        <w:t xml:space="preserve"> (Notice ARC 1416C,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ARC 1482C</w:t>
      </w:r>
      <w:r>
        <w:rPr>
          <w:rFonts w:ascii="Times New Roman" w:hAnsi="Times New Roman"/>
          <w:b w:val="false"/>
          <w:i w:val="false"/>
          <w:color w:val="000000"/>
          <w:sz w:val="21"/>
        </w:rPr>
        <w:t xml:space="preserve"> (Notice ARC 1417C,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After Notice ARC 2027C</w:t>
      </w:r>
      <w:r>
        <w:rPr>
          <w:rFonts w:ascii="Times New Roman" w:hAnsi="Times New Roman"/>
          <w:b w:val="false"/>
          <w:i w:val="false"/>
          <w:color w:val="000000"/>
          <w:sz w:val="21"/>
        </w:rPr>
        <w:t xml:space="preserve"> (Notice ARC 1952C, IAB 4/1/15)</w:t>
      </w:r>
      <w:r>
        <w:rPr>
          <w:rFonts w:ascii="Times New Roman" w:hAnsi="Times New Roman"/>
          <w:b w:val="false"/>
          <w:i w:val="false"/>
          <w:color w:val="000000"/>
          <w:sz w:val="21"/>
        </w:rPr>
        <w:t>, IAB 6/10/15, effective 7/1/15]</w:t>
      </w:r>
      <w:r>
        <w:br/>
      </w:r>
      <w:r>
        <w:rPr>
          <w:rFonts w:ascii="Times New Roman" w:hAnsi="Times New Roman"/>
          <w:b w:val="false"/>
          <w:i w:val="false"/>
          <w:color w:val="000000"/>
          <w:sz w:val="21"/>
        </w:rPr>
        <w:t>[Filed ARC 2029C</w:t>
      </w:r>
      <w:r>
        <w:rPr>
          <w:rFonts w:ascii="Times New Roman" w:hAnsi="Times New Roman"/>
          <w:b w:val="false"/>
          <w:i w:val="false"/>
          <w:color w:val="000000"/>
          <w:sz w:val="21"/>
        </w:rPr>
        <w:t xml:space="preserve"> (Notice ARC 1951C, IAB 4/1/15)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2557C</w:t>
      </w:r>
      <w:r>
        <w:rPr>
          <w:rFonts w:ascii="Times New Roman" w:hAnsi="Times New Roman"/>
          <w:b w:val="false"/>
          <w:i w:val="false"/>
          <w:color w:val="000000"/>
          <w:sz w:val="21"/>
        </w:rPr>
        <w:t xml:space="preserve"> (Notice ARC 2469C, IAB 3/30/16)</w:t>
      </w:r>
      <w:r>
        <w:rPr>
          <w:rFonts w:ascii="Times New Roman" w:hAnsi="Times New Roman"/>
          <w:b w:val="false"/>
          <w:i w:val="false"/>
          <w:color w:val="000000"/>
          <w:sz w:val="21"/>
        </w:rPr>
        <w:t>, IAB 6/8/16, effective 8/1/16]</w:t>
      </w:r>
    </w:p>
    <w:p>
      <w:pPr>
        <w:spacing w:before="0" w:after="0"/>
        <w:ind w:left="120"/>
        <w:jc w:val="center"/>
      </w:pPr>
      <w:r>
        <w:rPr>
          <w:rFonts w:ascii="Times New Roman" w:hAnsi="Times New Roman"/>
          <w:b w:val="false"/>
          <w:i w:val="false"/>
          <w:color w:val="000000"/>
          <w:sz w:val="21"/>
        </w:rPr>
        <w:t>[Filed Emergency After Notice ARC 2605C</w:t>
      </w:r>
      <w:r>
        <w:rPr>
          <w:rFonts w:ascii="Times New Roman" w:hAnsi="Times New Roman"/>
          <w:b w:val="false"/>
          <w:i w:val="false"/>
          <w:color w:val="000000"/>
          <w:sz w:val="21"/>
        </w:rPr>
        <w:t xml:space="preserve"> (Notice ARC 2505C, IAB 4/27/16)</w:t>
      </w:r>
      <w:r>
        <w:rPr>
          <w:rFonts w:ascii="Times New Roman" w:hAnsi="Times New Roman"/>
          <w:b w:val="false"/>
          <w:i w:val="false"/>
          <w:color w:val="000000"/>
          <w:sz w:val="21"/>
        </w:rPr>
        <w:t>, IAB 7/6/16, effective 7/1/16]</w:t>
      </w:r>
    </w:p>
    <w:p>
      <w:pPr>
        <w:spacing w:before="0" w:after="0"/>
        <w:ind w:left="120"/>
        <w:jc w:val="center"/>
      </w:pPr>
      <w:r>
        <w:rPr>
          <w:rFonts w:ascii="Times New Roman" w:hAnsi="Times New Roman"/>
          <w:b w:val="false"/>
          <w:i w:val="false"/>
          <w:color w:val="000000"/>
          <w:sz w:val="21"/>
        </w:rPr>
        <w:t>[Filed ARC 3094C</w:t>
      </w:r>
      <w:r>
        <w:rPr>
          <w:rFonts w:ascii="Times New Roman" w:hAnsi="Times New Roman"/>
          <w:b w:val="false"/>
          <w:i w:val="false"/>
          <w:color w:val="000000"/>
          <w:sz w:val="21"/>
        </w:rPr>
        <w:t xml:space="preserve"> (Notice ARC 3001C,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Emergency After Notice ARC 3182C</w:t>
      </w:r>
      <w:r>
        <w:rPr>
          <w:rFonts w:ascii="Times New Roman" w:hAnsi="Times New Roman"/>
          <w:b w:val="false"/>
          <w:i w:val="false"/>
          <w:color w:val="000000"/>
          <w:sz w:val="21"/>
        </w:rPr>
        <w:t xml:space="preserve"> (Notice ARC 3016C, IAB 4/12/17)</w:t>
      </w:r>
      <w:r>
        <w:rPr>
          <w:rFonts w:ascii="Times New Roman" w:hAnsi="Times New Roman"/>
          <w:b w:val="false"/>
          <w:i w:val="false"/>
          <w:color w:val="000000"/>
          <w:sz w:val="21"/>
        </w:rPr>
        <w:t>, IAB 7/5/17, effective 7/1/17]</w:t>
      </w:r>
      <w:r>
        <w:br/>
      </w:r>
      <w:r>
        <w:rPr>
          <w:rFonts w:ascii="Times New Roman" w:hAnsi="Times New Roman"/>
          <w:b w:val="false"/>
          <w:i w:val="false"/>
          <w:color w:val="000000"/>
          <w:sz w:val="21"/>
        </w:rPr>
        <w:t>[Filed Emergency After Notice ARC 3183C</w:t>
      </w:r>
      <w:r>
        <w:rPr>
          <w:rFonts w:ascii="Times New Roman" w:hAnsi="Times New Roman"/>
          <w:b w:val="false"/>
          <w:i w:val="false"/>
          <w:color w:val="000000"/>
          <w:sz w:val="21"/>
        </w:rPr>
        <w:t xml:space="preserve"> (Notice ARC 3017C, IAB 4/12/17)</w:t>
      </w:r>
      <w:r>
        <w:rPr>
          <w:rFonts w:ascii="Times New Roman" w:hAnsi="Times New Roman"/>
          <w:b w:val="false"/>
          <w:i w:val="false"/>
          <w:color w:val="000000"/>
          <w:sz w:val="21"/>
        </w:rPr>
        <w:t>, IAB 7/5/17, effective 7/1/17]</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3493C</w:t>
      </w:r>
      <w:r>
        <w:rPr>
          <w:rFonts w:ascii="Times New Roman" w:hAnsi="Times New Roman"/>
          <w:b w:val="false"/>
          <w:i w:val="false"/>
          <w:color w:val="000000"/>
          <w:sz w:val="21"/>
        </w:rPr>
        <w:t xml:space="preserve"> (Notice ARC 3323C,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Emergency After Notice ARC 3869C</w:t>
      </w:r>
      <w:r>
        <w:rPr>
          <w:rFonts w:ascii="Times New Roman" w:hAnsi="Times New Roman"/>
          <w:b w:val="false"/>
          <w:i w:val="false"/>
          <w:color w:val="000000"/>
          <w:sz w:val="21"/>
        </w:rPr>
        <w:t xml:space="preserve"> (Notice ARC 3760C,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Emergency After Notice ARC 3870C</w:t>
      </w:r>
      <w:r>
        <w:rPr>
          <w:rFonts w:ascii="Times New Roman" w:hAnsi="Times New Roman"/>
          <w:b w:val="false"/>
          <w:i w:val="false"/>
          <w:color w:val="000000"/>
          <w:sz w:val="21"/>
        </w:rPr>
        <w:t xml:space="preserve"> (Notice ARC 3761C,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ARC 3873C</w:t>
      </w:r>
      <w:r>
        <w:rPr>
          <w:rFonts w:ascii="Times New Roman" w:hAnsi="Times New Roman"/>
          <w:b w:val="false"/>
          <w:i w:val="false"/>
          <w:color w:val="000000"/>
          <w:sz w:val="21"/>
        </w:rPr>
        <w:t xml:space="preserve"> (Notice ARC 3704C, IAB 3/28/18)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After Notice ARC 4572C</w:t>
      </w:r>
      <w:r>
        <w:rPr>
          <w:rFonts w:ascii="Times New Roman" w:hAnsi="Times New Roman"/>
          <w:b w:val="false"/>
          <w:i w:val="false"/>
          <w:color w:val="000000"/>
          <w:sz w:val="21"/>
        </w:rPr>
        <w:t xml:space="preserve"> (Notice ARC 4443C, IAB 5/22/19)</w:t>
      </w:r>
      <w:r>
        <w:rPr>
          <w:rFonts w:ascii="Times New Roman" w:hAnsi="Times New Roman"/>
          <w:b w:val="false"/>
          <w:i w:val="false"/>
          <w:color w:val="000000"/>
          <w:sz w:val="21"/>
        </w:rPr>
        <w:t>, IAB 7/31/19, effective 7/11/19]</w:t>
      </w:r>
      <w:r>
        <w:br/>
      </w:r>
      <w:r>
        <w:rPr>
          <w:rFonts w:ascii="Times New Roman" w:hAnsi="Times New Roman"/>
          <w:b w:val="false"/>
          <w:i w:val="false"/>
          <w:color w:val="000000"/>
          <w:sz w:val="21"/>
        </w:rPr>
        <w:t>[Filed ARC 4574C</w:t>
      </w:r>
      <w:r>
        <w:rPr>
          <w:rFonts w:ascii="Times New Roman" w:hAnsi="Times New Roman"/>
          <w:b w:val="false"/>
          <w:i w:val="false"/>
          <w:color w:val="000000"/>
          <w:sz w:val="21"/>
        </w:rPr>
        <w:t xml:space="preserve"> (Notice ARC 4442C,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4898C</w:t>
      </w:r>
      <w:r>
        <w:rPr>
          <w:rFonts w:ascii="Times New Roman" w:hAnsi="Times New Roman"/>
          <w:b w:val="false"/>
          <w:i w:val="false"/>
          <w:color w:val="000000"/>
          <w:sz w:val="21"/>
        </w:rPr>
        <w:t xml:space="preserve"> (Notice ARC 4738C,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5174C</w:t>
      </w:r>
      <w:r>
        <w:rPr>
          <w:rFonts w:ascii="Times New Roman" w:hAnsi="Times New Roman"/>
          <w:b w:val="false"/>
          <w:i w:val="false"/>
          <w:color w:val="000000"/>
          <w:sz w:val="21"/>
        </w:rPr>
        <w:t xml:space="preserve"> (Notice ARC 5049C, IAB 6/17/20)</w:t>
      </w:r>
      <w:r>
        <w:rPr>
          <w:rFonts w:ascii="Times New Roman" w:hAnsi="Times New Roman"/>
          <w:b w:val="false"/>
          <w:i w:val="false"/>
          <w:color w:val="000000"/>
          <w:sz w:val="21"/>
        </w:rPr>
        <w:t>, IAB 9/9/20, effective 11/1/20]</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9381C</w:t>
      </w:r>
      <w:r>
        <w:rPr>
          <w:rFonts w:ascii="Times New Roman" w:hAnsi="Times New Roman"/>
          <w:b w:val="false"/>
          <w:i w:val="false"/>
          <w:color w:val="000000"/>
          <w:sz w:val="21"/>
        </w:rPr>
        <w:t xml:space="preserve"> (Notice ARC 9185C, IAB 4/30/25)</w:t>
      </w:r>
      <w:r>
        <w:rPr>
          <w:rFonts w:ascii="Times New Roman" w:hAnsi="Times New Roman"/>
          <w:b w:val="false"/>
          <w:i w:val="false"/>
          <w:color w:val="000000"/>
          <w:sz w:val="21"/>
        </w:rPr>
        <w:t>, IAB 6/25/25, effective 8/1/25]</w:t>
      </w:r>
    </w:p>
    <w:p>
      <w:pPr>
        <w:spacing w:before="0" w:after="0"/>
        <w:ind w:left="120"/>
        <w:jc w:val="center"/>
      </w:pPr>
      <w:r>
        <w:rPr>
          <w:rFonts w:ascii="Times New Roman" w:hAnsi="Times New Roman"/>
          <w:b w:val="false"/>
          <w:i w:val="false"/>
          <w:color w:val="000000"/>
          <w:sz w:val="21"/>
        </w:rPr>
        <w:t>[Filed ARC 9763C</w:t>
      </w:r>
      <w:r>
        <w:rPr>
          <w:rFonts w:ascii="Times New Roman" w:hAnsi="Times New Roman"/>
          <w:b w:val="false"/>
          <w:i w:val="false"/>
          <w:color w:val="000000"/>
          <w:sz w:val="21"/>
        </w:rPr>
        <w:t xml:space="preserve"> (Notice ARC 9581C,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[Filed ARC 0396D</w:t>
      </w:r>
      <w:r>
        <w:rPr>
          <w:rFonts w:ascii="Times New Roman" w:hAnsi="Times New Roman"/>
          <w:b w:val="false"/>
          <w:i w:val="false"/>
          <w:color w:val="000000"/>
          <w:sz w:val="21"/>
        </w:rPr>
        <w:t xml:space="preserve"> (Notice ARC 0229D, IAB 4/29/26)</w:t>
      </w:r>
      <w:r>
        <w:rPr>
          <w:rFonts w:ascii="Times New Roman" w:hAnsi="Times New Roman"/>
          <w:b w:val="false"/>
          <w:i w:val="false"/>
          <w:color w:val="000000"/>
          <w:sz w:val="21"/>
        </w:rPr>
        <w:t>, IAB 6/24/26, effective 8/1/26]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48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4.pdf" Type="http://schemas.openxmlformats.org/officeDocument/2006/relationships/hyperlink" Id="rId5"/>
    <Relationship TargetMode="External" Target="https://www.legis.iowa.gov/docs/iac/chapter/441.88.pdf" Type="http://schemas.openxmlformats.org/officeDocument/2006/relationships/hyperlink" Id="rId6"/>
    <Relationship TargetMode="External" Target="https://www.legis.iowa.gov/docs/iac/rule/441.75.8.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75.9.pdf" Type="http://schemas.openxmlformats.org/officeDocument/2006/relationships/hyperlink" Id="rId9"/>
    <Relationship TargetMode="External" Target="https://www.legis.iowa.gov/docs/iac/rule/441.75.10.pdf" Type="http://schemas.openxmlformats.org/officeDocument/2006/relationships/hyperlink" Id="rId10"/>
    <Relationship TargetMode="External" Target="https://www.legis.iowa.gov/docs/iac/rule/441.75.11.pdf" Type="http://schemas.openxmlformats.org/officeDocument/2006/relationships/hyperlink" Id="rId11"/>
    <Relationship TargetMode="External" Target="https://www.legis.iowa.gov/docs/iac/rule/441.75.14.pdf" Type="http://schemas.openxmlformats.org/officeDocument/2006/relationships/hyperlink" Id="rId12"/>
    <Relationship TargetMode="External" Target="https://www.legis.iowa.gov/docs/iac/rule/441.75.15.pdf" Type="http://schemas.openxmlformats.org/officeDocument/2006/relationships/hyperlink" Id="rId13"/>
    <Relationship TargetMode="External" Target="https://www.legis.iowa.gov/docs/iac/rule/441.75.16.pdf" Type="http://schemas.openxmlformats.org/officeDocument/2006/relationships/hyperlink" Id="rId14"/>
    <Relationship TargetMode="External" Target="https://www.legis.iowa.gov/docs/iac/rule/441.75.29.pdf" Type="http://schemas.openxmlformats.org/officeDocument/2006/relationships/hyperlink" Id="rId15"/>
    <Relationship TargetMode="External" Target="https://www.legis.iowa.gov/docs/iac/rule/441.75.6.pdf" Type="http://schemas.openxmlformats.org/officeDocument/2006/relationships/hyperlink" Id="rId16"/>
    <Relationship TargetMode="External" Target="https://www.legis.iowa.gov/docs/iac/chapter/441.75.pdf" Type="http://schemas.openxmlformats.org/officeDocument/2006/relationships/hyperlink" Id="rId17"/>
    <Relationship TargetMode="External" Target="https://www.legis.iowa.gov/docs/iac/rule/441.75.6.pdf" Type="http://schemas.openxmlformats.org/officeDocument/2006/relationships/hyperlink" Id="rId18"/>
    <Relationship TargetMode="External" Target="https://www.legis.iowa.gov/docs/iac/rule/441.75.23.pdf" Type="http://schemas.openxmlformats.org/officeDocument/2006/relationships/hyperlink" Id="rId19"/>
    <Relationship TargetMode="External" Target="https://www.legis.iowa.gov/docs/iac/rule/441.75.85.pdf" Type="http://schemas.openxmlformats.org/officeDocument/2006/relationships/hyperlink" Id="rId20"/>
    <Relationship TargetMode="External" Target="https://www.legis.iowa.gov/docs/iac/rule/441.75.7.pdf" Type="http://schemas.openxmlformats.org/officeDocument/2006/relationships/hyperlink" Id="rId21"/>
    <Relationship TargetMode="External" Target="https://www.legis.iowa.gov/docs/iac/rule/441.76.7.pdf" Type="http://schemas.openxmlformats.org/officeDocument/2006/relationships/hyperlink" Id="rId22"/>
    <Relationship TargetMode="External" Target="https://www.legis.iowa.gov/docs/iac/rule/441.76.7.pdf" Type="http://schemas.openxmlformats.org/officeDocument/2006/relationships/hyperlink" Id="rId23"/>
    <Relationship TargetMode="External" Target="https://www.legis.iowa.gov/docs/iac/rule/441.75.11.pdf" Type="http://schemas.openxmlformats.org/officeDocument/2006/relationships/hyperlink" Id="rId24"/>
    <Relationship TargetMode="External" Target="https://www.legis.iowa.gov/docs/iac/rule/441.75.23.pdf" Type="http://schemas.openxmlformats.org/officeDocument/2006/relationships/hyperlink" Id="rId25"/>
    <Relationship TargetMode="External" Target="https://www.legis.iowa.gov/docs/iac/rule/441.75.3.pdf" Type="http://schemas.openxmlformats.org/officeDocument/2006/relationships/hyperlink" Id="rId26"/>
    <Relationship TargetMode="External" Target="https://www.legis.iowa.gov/docs/iac/rule/441.75.8.pdf" Type="http://schemas.openxmlformats.org/officeDocument/2006/relationships/hyperlink" Id="rId27"/>
    <Relationship TargetMode="External" Target="https://www.legis.iowa.gov/docs/iac/rule/441.75.3.pdf" Type="http://schemas.openxmlformats.org/officeDocument/2006/relationships/hyperlink" Id="rId28"/>
    <Relationship TargetMode="External" Target="https://www.legis.iowa.gov/docs/iac/rule/441.75.4.pdf" Type="http://schemas.openxmlformats.org/officeDocument/2006/relationships/hyperlink" Id="rId29"/>
    <Relationship TargetMode="External" Target="https://www.legis.iowa.gov/docs/iac/rule/441.75.5.pdf" Type="http://schemas.openxmlformats.org/officeDocument/2006/relationships/hyperlink" Id="rId30"/>
    <Relationship TargetMode="External" Target="https://www.legis.iowa.gov/docs/iac/chapter/441.74.pdf" Type="http://schemas.openxmlformats.org/officeDocument/2006/relationships/hyperlink" Id="rId31"/>
    <Relationship TargetMode="External" Target="https://www.legis.iowa.gov/docs/iac/rule/441.75.5.pdf" Type="http://schemas.openxmlformats.org/officeDocument/2006/relationships/hyperlink" Id="rId32"/>
    <Relationship TargetMode="External" Target="https://www.legis.iowa.gov/docs/iac/rule/441.75.5.pdf" Type="http://schemas.openxmlformats.org/officeDocument/2006/relationships/hyperlink" Id="rId33"/>
    <Relationship TargetMode="External" Target="https://www.legis.iowa.gov/docs/iac/rule/441.75.6.pdf" Type="http://schemas.openxmlformats.org/officeDocument/2006/relationships/hyperlink" Id="rId34"/>
    <Relationship TargetMode="External" Target="https://www.legis.iowa.gov/docs/iac/chapter/441.83.pdf" Type="http://schemas.openxmlformats.org/officeDocument/2006/relationships/hyperlink" Id="rId35"/>
    <Relationship TargetMode="External" Target="https://www.legis.iowa.gov/docs/iac/rule/441.75.50.pdf" Type="http://schemas.openxmlformats.org/officeDocument/2006/relationships/hyperlink" Id="rId36"/>
    <Relationship TargetMode="External" Target="https://www.legis.iowa.gov/docs/iac/rule/441.75.51.pdf" Type="http://schemas.openxmlformats.org/officeDocument/2006/relationships/hyperlink" Id="rId37"/>
    <Relationship TargetMode="External" Target="https://www.legis.iowa.gov/docs/iac/rule/441.75.74.pdf" Type="http://schemas.openxmlformats.org/officeDocument/2006/relationships/hyperlink" Id="rId38"/>
    <Relationship TargetMode="External" Target="https://www.legis.iowa.gov/docs/iac/rule/441.75.74.pdf" Type="http://schemas.openxmlformats.org/officeDocument/2006/relationships/hyperlink" Id="rId39"/>
    <Relationship TargetMode="External" Target="https://www.legis.iowa.gov/docs/iac/rule/441.75.72.pdf" Type="http://schemas.openxmlformats.org/officeDocument/2006/relationships/hyperlink" Id="rId40"/>
    <Relationship TargetMode="External" Target="https://www.legis.iowa.gov/docs/iac/rule/441.75.72.pdf" Type="http://schemas.openxmlformats.org/officeDocument/2006/relationships/hyperlink" Id="rId41"/>
    <Relationship TargetMode="External" Target="https://www.legis.iowa.gov/docs/iac/rule/441.75.18.pdf" Type="http://schemas.openxmlformats.org/officeDocument/2006/relationships/hyperlink" Id="rId42"/>
    <Relationship TargetMode="External" Target="https://www.legis.iowa.gov/docs/iac/rule/441.75.52.pdf" Type="http://schemas.openxmlformats.org/officeDocument/2006/relationships/hyperlink" Id="rId43"/>
    <Relationship TargetMode="External" Target="https://www.legis.iowa.gov/docs/iac/rule/441.75.50.pdf" Type="http://schemas.openxmlformats.org/officeDocument/2006/relationships/hyperlink" Id="rId44"/>
    <Relationship TargetMode="External" Target="https://www.legis.iowa.gov/docs/iac/rule/441.75.50.pdf" Type="http://schemas.openxmlformats.org/officeDocument/2006/relationships/hyperlink" Id="rId45"/>
    <Relationship TargetMode="External" Target="https://www.legis.iowa.gov/docs/iac/rule/441.75.3.pdf" Type="http://schemas.openxmlformats.org/officeDocument/2006/relationships/hyperlink" Id="rId46"/>
    <Relationship TargetMode="External" Target="https://www.legis.iowa.gov/docs/iac/rule/441.76.14.pdf" Type="http://schemas.openxmlformats.org/officeDocument/2006/relationships/hyperlink" Id="rId47"/>
    <Relationship TargetMode="External" Target="https://www.legis.iowa.gov/docs/iac/rule/441.75.11.pdf" Type="http://schemas.openxmlformats.org/officeDocument/2006/relationships/hyperlink" Id="rId48"/>
    <Relationship TargetMode="External" Target="https://www.legis.iowa.gov/docs/iac/chapter/441.86.pdf" Type="http://schemas.openxmlformats.org/officeDocument/2006/relationships/hyperlink" Id="rId49"/>
    <Relationship TargetMode="External" Target="https://www.legis.iowa.gov/docs/iac/rule/441.75.3.pdf" Type="http://schemas.openxmlformats.org/officeDocument/2006/relationships/hyperlink" Id="rId50"/>
    <Relationship TargetMode="External" Target="https://www.legis.iowa.gov/docs/iac/rule/441.75.19.pdf" Type="http://schemas.openxmlformats.org/officeDocument/2006/relationships/hyperlink" Id="rId51"/>
    <Relationship TargetMode="External" Target="https://www.legis.iowa.gov/docs/iac/rule/441.75.3.pdf" Type="http://schemas.openxmlformats.org/officeDocument/2006/relationships/hyperlink" Id="rId52"/>
    <Relationship TargetMode="External" Target="https://www.legis.iowa.gov/docs/iac/rule/441.75.19.pdf" Type="http://schemas.openxmlformats.org/officeDocument/2006/relationships/hyperlink" Id="rId53"/>
    <Relationship TargetMode="External" Target="https://www.legis.iowa.gov/docs/iac/rule/441.75.3.pdf" Type="http://schemas.openxmlformats.org/officeDocument/2006/relationships/hyperlink" Id="rId54"/>
    <Relationship TargetMode="External" Target="https://www.legis.iowa.gov/docs/ico/chapter/239B.14.pdf" Type="http://schemas.openxmlformats.org/officeDocument/2006/relationships/hyperlink" Id="rId55"/>
    <Relationship TargetMode="External" Target="https://www.legis.iowa.gov/docs/iac/rule/441.75.50.pdf" Type="http://schemas.openxmlformats.org/officeDocument/2006/relationships/hyperlink" Id="rId56"/>
    <Relationship TargetMode="External" Target="https://www.legis.iowa.gov/docs/iac/rule/441.75.74.pdf" Type="http://schemas.openxmlformats.org/officeDocument/2006/relationships/hyperlink" Id="rId57"/>
    <Relationship TargetMode="External" Target="https://www.legis.iowa.gov/docs/iac/rule/441.16.2.pdf" Type="http://schemas.openxmlformats.org/officeDocument/2006/relationships/hyperlink" Id="rId58"/>
    <Relationship TargetMode="External" Target="https://www.legis.iowa.gov/docs/iac/rule/441.75.3.pdf" Type="http://schemas.openxmlformats.org/officeDocument/2006/relationships/hyperlink" Id="rId59"/>
    <Relationship TargetMode="External" Target="https://www.legis.iowa.gov/docs/iac/rule/441.75.3.pdf" Type="http://schemas.openxmlformats.org/officeDocument/2006/relationships/hyperlink" Id="rId60"/>
    <Relationship TargetMode="External" Target="https://www.legis.iowa.gov/docs/iac/rule/441.75.74.pdf" Type="http://schemas.openxmlformats.org/officeDocument/2006/relationships/hyperlink" Id="rId61"/>
    <Relationship TargetMode="External" Target="https://www.legis.iowa.gov/docs/iac/rule/441.16.2.pdf" Type="http://schemas.openxmlformats.org/officeDocument/2006/relationships/hyperlink" Id="rId62"/>
    <Relationship TargetMode="External" Target="https://www.legis.iowa.gov/docs/iac/rule/441.75.3.pdf" Type="http://schemas.openxmlformats.org/officeDocument/2006/relationships/hyperlink" Id="rId63"/>
    <Relationship TargetMode="External" Target="https://www.legis.iowa.gov/docs/ico/chapter/234.35.pdf" Type="http://schemas.openxmlformats.org/officeDocument/2006/relationships/hyperlink" Id="rId64"/>
    <Relationship TargetMode="External" Target="https://www.legis.iowa.gov/docs/iac/rule/441.156.20.pdf" Type="http://schemas.openxmlformats.org/officeDocument/2006/relationships/hyperlink" Id="rId65"/>
    <Relationship TargetMode="External" Target="https://www.legis.iowa.gov/docs/iac/rule/441.201.5.pdf" Type="http://schemas.openxmlformats.org/officeDocument/2006/relationships/hyperlink" Id="rId66"/>
    <Relationship TargetMode="External" Target="https://www.legis.iowa.gov/docs/iac/chapter/441.204.pdf" Type="http://schemas.openxmlformats.org/officeDocument/2006/relationships/hyperlink" Id="rId67"/>
    <Relationship TargetMode="External" Target="https://www.legis.iowa.gov/docs/iac/rule/441.75.8.pdf" Type="http://schemas.openxmlformats.org/officeDocument/2006/relationships/hyperlink" Id="rId68"/>
    <Relationship TargetMode="External" Target="https://www.legis.iowa.gov/docs/iac/rule/441.75.52.pdf" Type="http://schemas.openxmlformats.org/officeDocument/2006/relationships/hyperlink" Id="rId69"/>
    <Relationship TargetMode="External" Target="https://www.legis.iowa.gov/docs/iac/rule/441.75.50.pdf" Type="http://schemas.openxmlformats.org/officeDocument/2006/relationships/hyperlink" Id="rId70"/>
    <Relationship TargetMode="External" Target="https://www.legis.iowa.gov/docs/ico/chapter/234.35.pdf" Type="http://schemas.openxmlformats.org/officeDocument/2006/relationships/hyperlink" Id="rId71"/>
    <Relationship TargetMode="External" Target="https://www.legis.iowa.gov/docs/iac/rule/441.156.20.pdf" Type="http://schemas.openxmlformats.org/officeDocument/2006/relationships/hyperlink" Id="rId72"/>
    <Relationship TargetMode="External" Target="https://www.legis.iowa.gov/docs/iac/rule/441.204.4.pdf" Type="http://schemas.openxmlformats.org/officeDocument/2006/relationships/hyperlink" Id="rId73"/>
    <Relationship TargetMode="External" Target="https://www.legis.iowa.gov/docs/iac/rule/441.201.5.pdf" Type="http://schemas.openxmlformats.org/officeDocument/2006/relationships/hyperlink" Id="rId74"/>
    <Relationship TargetMode="External" Target="https://www.legis.iowa.gov/docs/iac/rule/441.75.52.pdf" Type="http://schemas.openxmlformats.org/officeDocument/2006/relationships/hyperlink" Id="rId75"/>
    <Relationship TargetMode="External" Target="https://www.legis.iowa.gov/docs/iac/rule/441.75.50.pdf" Type="http://schemas.openxmlformats.org/officeDocument/2006/relationships/hyperlink" Id="rId76"/>
    <Relationship TargetMode="External" Target="https://www.legis.iowa.gov/docs/ico/chapter/234.35.pdf" Type="http://schemas.openxmlformats.org/officeDocument/2006/relationships/hyperlink" Id="rId77"/>
    <Relationship TargetMode="External" Target="https://www.legis.iowa.gov/docs/iac/rule/441.156.20.pdf" Type="http://schemas.openxmlformats.org/officeDocument/2006/relationships/hyperlink" Id="rId78"/>
    <Relationship TargetMode="External" Target="https://www.legis.iowa.gov/docs/iac/rule/441.201.5.pdf" Type="http://schemas.openxmlformats.org/officeDocument/2006/relationships/hyperlink" Id="rId79"/>
    <Relationship TargetMode="External" Target="https://www.legis.iowa.gov/docs/iac/rule/441.75.10.pdf" Type="http://schemas.openxmlformats.org/officeDocument/2006/relationships/hyperlink" Id="rId80"/>
    <Relationship TargetMode="External" Target="https://www.legis.iowa.gov/docs/iac/rule/441.75.52.pdf" Type="http://schemas.openxmlformats.org/officeDocument/2006/relationships/hyperlink" Id="rId81"/>
    <Relationship TargetMode="External" Target="https://www.legis.iowa.gov/docs/iac/rule/441.75.50.pdf" Type="http://schemas.openxmlformats.org/officeDocument/2006/relationships/hyperlink" Id="rId82"/>
    <Relationship TargetMode="External" Target="https://www.legis.iowa.gov/docs/iac/chapter/441.204.pdf" Type="http://schemas.openxmlformats.org/officeDocument/2006/relationships/hyperlink" Id="rId83"/>
    <Relationship TargetMode="External" Target="https://www.legis.iowa.gov/docs/iac/rule/441.75.10.pdf" Type="http://schemas.openxmlformats.org/officeDocument/2006/relationships/hyperlink" Id="rId84"/>
    <Relationship TargetMode="External" Target="https://www.legis.iowa.gov/docs/iac/rule/441.75.52.pdf" Type="http://schemas.openxmlformats.org/officeDocument/2006/relationships/hyperlink" Id="rId85"/>
    <Relationship TargetMode="External" Target="https://www.legis.iowa.gov/docs/iac/rule/441.75.50.pdf" Type="http://schemas.openxmlformats.org/officeDocument/2006/relationships/hyperlink" Id="rId86"/>
    <Relationship TargetMode="External" Target="https://www.legis.iowa.gov/docs/iac/rule/441.75.3.pdf" Type="http://schemas.openxmlformats.org/officeDocument/2006/relationships/hyperlink" Id="rId87"/>
    <Relationship TargetMode="External" Target="https://www.legis.iowa.gov/docs/iac/rule/441.75.52.pdf" Type="http://schemas.openxmlformats.org/officeDocument/2006/relationships/hyperlink" Id="rId88"/>
    <Relationship TargetMode="External" Target="https://www.legis.iowa.gov/docs/ico/chapter/232.2.pdf" Type="http://schemas.openxmlformats.org/officeDocument/2006/relationships/hyperlink" Id="rId89"/>
    <Relationship TargetMode="External" Target="https://www.legis.iowa.gov/docs/ico/chapter/234.1.pdf" Type="http://schemas.openxmlformats.org/officeDocument/2006/relationships/hyperlink" Id="rId90"/>
    <Relationship TargetMode="External" Target="https://www.legis.iowa.gov/docs/ico/chapter/234.1.pdf" Type="http://schemas.openxmlformats.org/officeDocument/2006/relationships/hyperlink" Id="rId91"/>
    <Relationship TargetMode="External" Target="https://www.legis.iowa.gov/docs/iac/rule/441.75.6.pdf" Type="http://schemas.openxmlformats.org/officeDocument/2006/relationships/hyperlink" Id="rId92"/>
    <Relationship TargetMode="External" Target="https://www.legis.iowa.gov/docs/iac/rule/441.75.7.pdf" Type="http://schemas.openxmlformats.org/officeDocument/2006/relationships/hyperlink" Id="rId93"/>
    <Relationship TargetMode="External" Target="https://www.legis.iowa.gov/docs/iac/rule/441.75.74.pdf" Type="http://schemas.openxmlformats.org/officeDocument/2006/relationships/hyperlink" Id="rId94"/>
    <Relationship TargetMode="External" Target="https://www.legis.iowa.gov/docs/iac/rule/441.86.2.pdf" Type="http://schemas.openxmlformats.org/officeDocument/2006/relationships/hyperlink" Id="rId95"/>
    <Relationship TargetMode="External" Target="https://www.legis.iowa.gov/docs/iac/rule/441.75.74.pdf" Type="http://schemas.openxmlformats.org/officeDocument/2006/relationships/hyperlink" Id="rId96"/>
    <Relationship TargetMode="External" Target="https://www.legis.iowa.gov/docs/iac/rule/441.75.74.pdf" Type="http://schemas.openxmlformats.org/officeDocument/2006/relationships/hyperlink" Id="rId97"/>
    <Relationship TargetMode="External" Target="https://www.legis.iowa.gov/docs/iac/rule/441.75.8.pdf" Type="http://schemas.openxmlformats.org/officeDocument/2006/relationships/hyperlink" Id="rId98"/>
    <Relationship TargetMode="External" Target="https://www.legis.iowa.gov/docs/iac/rule/441.75.1.pdf" Type="http://schemas.openxmlformats.org/officeDocument/2006/relationships/hyperlink" Id="rId99"/>
    <Relationship TargetMode="External" Target="https://www.legis.iowa.gov/docs/iac/rule/441.75.8.pdf" Type="http://schemas.openxmlformats.org/officeDocument/2006/relationships/hyperlink" Id="rId100"/>
    <Relationship TargetMode="External" Target="https://www.legis.iowa.gov/docs/ico/chapter/249A.3.pdf" Type="http://schemas.openxmlformats.org/officeDocument/2006/relationships/hyperlink" Id="rId101"/>
    <Relationship TargetMode="External" Target="https://www.legis.iowa.gov/docs/ico/chapter/249A.3A.pdf" Type="http://schemas.openxmlformats.org/officeDocument/2006/relationships/hyperlink" Id="rId102"/>
    <Relationship TargetMode="External" Target="https://www.legis.iowa.gov/docs/ico/chapter/249A.4.pdf" Type="http://schemas.openxmlformats.org/officeDocument/2006/relationships/hyperlink" Id="rId103"/>
    <Relationship TargetMode="External" Target="https://www.legis.iowa.gov/docs/ico/chapter/249A.3.pdf" Type="http://schemas.openxmlformats.org/officeDocument/2006/relationships/hyperlink" Id="rId104"/>
    <Relationship TargetMode="External" Target="https://www.legis.iowa.gov/docs/ico/chapter/249A.3.pdf" Type="http://schemas.openxmlformats.org/officeDocument/2006/relationships/hyperlink" Id="rId105"/>
    <Relationship TargetMode="External" Target="https://www.legis.iowa.gov/docs/iac/rule/441.75.7.pdf" Type="http://schemas.openxmlformats.org/officeDocument/2006/relationships/hyperlink" Id="rId106"/>
    <Relationship TargetMode="External" Target="https://www.legis.iowa.gov/docs/iac/chapter/441.74.pdf" Type="http://schemas.openxmlformats.org/officeDocument/2006/relationships/hyperlink" Id="rId107"/>
    <Relationship TargetMode="External" Target="https://www.legis.iowa.gov/docs/iac/rule/441.75.7.pdf" Type="http://schemas.openxmlformats.org/officeDocument/2006/relationships/hyperlink" Id="rId108"/>
    <Relationship TargetMode="External" Target="https://www.legis.iowa.gov/docs/iac/rule/441.60.7.pdf" Type="http://schemas.openxmlformats.org/officeDocument/2006/relationships/hyperlink" Id="rId109"/>
    <Relationship TargetMode="External" Target="https://www.legis.iowa.gov/docs/iac/rule/441.75.5.pdf" Type="http://schemas.openxmlformats.org/officeDocument/2006/relationships/hyperlink" Id="rId110"/>
    <Relationship TargetMode="External" Target="https://www.legis.iowa.gov/docs/iac/chapter/441.60.pdf" Type="http://schemas.openxmlformats.org/officeDocument/2006/relationships/hyperlink" Id="rId111"/>
    <Relationship TargetMode="External" Target="https://www.legis.iowa.gov/docs/iac/rule/441.75.74.pdf" Type="http://schemas.openxmlformats.org/officeDocument/2006/relationships/hyperlink" Id="rId112"/>
    <Relationship TargetMode="External" Target="https://www.legis.iowa.gov/docs/iac/rule/441.60.9.pdf" Type="http://schemas.openxmlformats.org/officeDocument/2006/relationships/hyperlink" Id="rId113"/>
    <Relationship TargetMode="External" Target="https://www.legis.iowa.gov/docs/iac/rule/441.75.5.pdf" Type="http://schemas.openxmlformats.org/officeDocument/2006/relationships/hyperlink" Id="rId114"/>
    <Relationship TargetMode="External" Target="https://www.legis.iowa.gov/docs/ico/chapter/249.pdf" Type="http://schemas.openxmlformats.org/officeDocument/2006/relationships/hyperlink" Id="rId115"/>
    <Relationship TargetMode="External" Target="https://www.legis.iowa.gov/docs/iac/chapter/441.50.pdf" Type="http://schemas.openxmlformats.org/officeDocument/2006/relationships/hyperlink" Id="rId116"/>
    <Relationship TargetMode="External" Target="https://www.legis.iowa.gov/docs/iac/chapter/441.54.pdf" Type="http://schemas.openxmlformats.org/officeDocument/2006/relationships/hyperlink" Id="rId117"/>
    <Relationship TargetMode="External" Target="https://www.legis.iowa.gov/docs/iac/chapter/441.177.pdf" Type="http://schemas.openxmlformats.org/officeDocument/2006/relationships/hyperlink" Id="rId118"/>
    <Relationship TargetMode="External" Target="https://www.legis.iowa.gov/docs/iac/rule/441.75.1.pdf" Type="http://schemas.openxmlformats.org/officeDocument/2006/relationships/hyperlink" Id="rId119"/>
    <Relationship TargetMode="External" Target="https://www.legis.iowa.gov/docs/iac/rule/441.75.81.pdf" Type="http://schemas.openxmlformats.org/officeDocument/2006/relationships/hyperlink" Id="rId120"/>
    <Relationship TargetMode="External" Target="https://www.legis.iowa.gov/docs/iac/rule/441.78.3.pdf" Type="http://schemas.openxmlformats.org/officeDocument/2006/relationships/hyperlink" Id="rId121"/>
    <Relationship TargetMode="External" Target="https://www.legis.iowa.gov/docs/iac/rule/441.81.2.pdf" Type="http://schemas.openxmlformats.org/officeDocument/2006/relationships/hyperlink" Id="rId122"/>
    <Relationship TargetMode="External" Target="https://www.legis.iowa.gov/docs/iac/rule/441.82.6.pdf" Type="http://schemas.openxmlformats.org/officeDocument/2006/relationships/hyperlink" Id="rId123"/>
    <Relationship TargetMode="External" Target="https://www.legis.iowa.gov/docs/iac/rule/441.82.7.pdf" Type="http://schemas.openxmlformats.org/officeDocument/2006/relationships/hyperlink" Id="rId124"/>
    <Relationship TargetMode="External" Target="https://www.legis.iowa.gov/docs/iac/rule/441.75.3.pdf" Type="http://schemas.openxmlformats.org/officeDocument/2006/relationships/hyperlink" Id="rId125"/>
    <Relationship TargetMode="External" Target="https://www.legis.iowa.gov/docs/iac/rule/441.75.80.pdf" Type="http://schemas.openxmlformats.org/officeDocument/2006/relationships/hyperlink" Id="rId126"/>
    <Relationship TargetMode="External" Target="https://www.legis.iowa.gov/docs/iac/rule/441.75.82.pdf" Type="http://schemas.openxmlformats.org/officeDocument/2006/relationships/hyperlink" Id="rId127"/>
    <Relationship TargetMode="External" Target="https://www.legis.iowa.gov/docs/iac/rule/441.75.82.pdf" Type="http://schemas.openxmlformats.org/officeDocument/2006/relationships/hyperlink" Id="rId128"/>
    <Relationship TargetMode="External" Target="https://www.legis.iowa.gov/docs/iac/rule/441.75.82.pdf" Type="http://schemas.openxmlformats.org/officeDocument/2006/relationships/hyperlink" Id="rId129"/>
    <Relationship TargetMode="External" Target="https://www.legis.iowa.gov/docs/iac/rule/441.75.82.pdf" Type="http://schemas.openxmlformats.org/officeDocument/2006/relationships/hyperlink" Id="rId130"/>
    <Relationship TargetMode="External" Target="https://www.legis.iowa.gov/docs/iac/rule/441.76.13.pdf" Type="http://schemas.openxmlformats.org/officeDocument/2006/relationships/hyperlink" Id="rId131"/>
    <Relationship TargetMode="External" Target="https://www.legis.iowa.gov/docs/iac/rule/441.75.82.pdf" Type="http://schemas.openxmlformats.org/officeDocument/2006/relationships/hyperlink" Id="rId132"/>
    <Relationship TargetMode="External" Target="https://www.legis.iowa.gov/docs/iac/rule/441.75.82.pdf" Type="http://schemas.openxmlformats.org/officeDocument/2006/relationships/hyperlink" Id="rId133"/>
    <Relationship TargetMode="External" Target="https://www.legis.iowa.gov/docs/iac/rule/441.76.13.pdf" Type="http://schemas.openxmlformats.org/officeDocument/2006/relationships/hyperlink" Id="rId134"/>
    <Relationship TargetMode="External" Target="https://www.legis.iowa.gov/docs/iac/rule/441.75.81.pdf" Type="http://schemas.openxmlformats.org/officeDocument/2006/relationships/hyperlink" Id="rId135"/>
    <Relationship TargetMode="External" Target="https://www.legis.iowa.gov/docs/iac/rule/441.75.6.pdf" Type="http://schemas.openxmlformats.org/officeDocument/2006/relationships/hyperlink" Id="rId136"/>
    <Relationship TargetMode="External" Target="https://www.legis.iowa.gov/docs/iac/rule/441.75.8.pdf" Type="http://schemas.openxmlformats.org/officeDocument/2006/relationships/hyperlink" Id="rId137"/>
    <Relationship TargetMode="External" Target="https://www.legis.iowa.gov/docs/iac/rule/441.75.6.pdf" Type="http://schemas.openxmlformats.org/officeDocument/2006/relationships/hyperlink" Id="rId138"/>
    <Relationship TargetMode="External" Target="https://www.legis.iowa.gov/docs/iac/rule/441.75.6.pdf" Type="http://schemas.openxmlformats.org/officeDocument/2006/relationships/hyperlink" Id="rId139"/>
    <Relationship TargetMode="External" Target="https://www.legis.iowa.gov/docs/iac/chapter/441.16.pdf" Type="http://schemas.openxmlformats.org/officeDocument/2006/relationships/hyperlink" Id="rId140"/>
    <Relationship TargetMode="External" Target="https://www.legis.iowa.gov/docs/iac/chapter/441.2506.pdf" Type="http://schemas.openxmlformats.org/officeDocument/2006/relationships/hyperlink" Id="rId141"/>
    <Relationship TargetMode="External" Target="https://www.legis.iowa.gov/docs/ico/chapter/627.6.pdf" Type="http://schemas.openxmlformats.org/officeDocument/2006/relationships/hyperlink" Id="rId142"/>
    <Relationship TargetMode="External" Target="https://www.legis.iowa.gov/docs/iac/rule/441.75.81.pdf" Type="http://schemas.openxmlformats.org/officeDocument/2006/relationships/hyperlink" Id="rId143"/>
    <Relationship TargetMode="External" Target="https://www.legis.iowa.gov/docs/iac/rule/441.75.6.pdf" Type="http://schemas.openxmlformats.org/officeDocument/2006/relationships/hyperlink" Id="rId144"/>
    <Relationship TargetMode="External" Target="https://www.legis.iowa.gov/docs/iac/chapter/441.83.pdf" Type="http://schemas.openxmlformats.org/officeDocument/2006/relationships/hyperlink" Id="rId145"/>
    <Relationship TargetMode="External" Target="https://www.legis.iowa.gov/docs/iac/rule/441.76.7.pdf" Type="http://schemas.openxmlformats.org/officeDocument/2006/relationships/hyperlink" Id="rId146"/>
    <Relationship TargetMode="External" Target="https://www.legis.iowa.gov/docs/iac/rule/441.76.7.pdf" Type="http://schemas.openxmlformats.org/officeDocument/2006/relationships/hyperlink" Id="rId147"/>
    <Relationship TargetMode="External" Target="https://www.legis.iowa.gov/docs/iac/rule/441.76.7.pdf" Type="http://schemas.openxmlformats.org/officeDocument/2006/relationships/hyperlink" Id="rId148"/>
    <Relationship TargetMode="External" Target="https://www.legis.iowa.gov/docs/iac/rule/441.75.72.pdf" Type="http://schemas.openxmlformats.org/officeDocument/2006/relationships/hyperlink" Id="rId149"/>
    <Relationship TargetMode="External" Target="https://www.legis.iowa.gov/docs/iac/rule/441.75.73.pdf" Type="http://schemas.openxmlformats.org/officeDocument/2006/relationships/hyperlink" Id="rId150"/>
    <Relationship TargetMode="External" Target="https://www.legis.iowa.gov/docs/iac/rule/441.75.11.pdf" Type="http://schemas.openxmlformats.org/officeDocument/2006/relationships/hyperlink" Id="rId151"/>
    <Relationship TargetMode="External" Target="https://www.legis.iowa.gov/docs/iac/rule/441.75.7.pdf" Type="http://schemas.openxmlformats.org/officeDocument/2006/relationships/hyperlink" Id="rId152"/>
    <Relationship TargetMode="External" Target="https://www.legis.iowa.gov/docs/iac/rule/441.75.10.pdf" Type="http://schemas.openxmlformats.org/officeDocument/2006/relationships/hyperlink" Id="rId153"/>
    <Relationship TargetMode="External" Target="https://www.legis.iowa.gov/docs/iac/rule/441.75.7.pdf" Type="http://schemas.openxmlformats.org/officeDocument/2006/relationships/hyperlink" Id="rId154"/>
    <Relationship TargetMode="External" Target="https://www.legis.iowa.gov/docs/iac/rule/441.75.7.pdf" Type="http://schemas.openxmlformats.org/officeDocument/2006/relationships/hyperlink" Id="rId155"/>
    <Relationship TargetMode="External" Target="https://www.legis.iowa.gov/docs/iac/rule/441.75.52.pdf" Type="http://schemas.openxmlformats.org/officeDocument/2006/relationships/hyperlink" Id="rId156"/>
    <Relationship TargetMode="External" Target="https://www.legis.iowa.gov/docs/iac/rule/441.75.52.pdf" Type="http://schemas.openxmlformats.org/officeDocument/2006/relationships/hyperlink" Id="rId157"/>
    <Relationship TargetMode="External" Target="https://www.legis.iowa.gov/docs/iac/rule/441.75.74.pdf" Type="http://schemas.openxmlformats.org/officeDocument/2006/relationships/hyperlink" Id="rId158"/>
    <Relationship TargetMode="External" Target="https://www.legis.iowa.gov/docs/iac/rule/441.86.2.pdf" Type="http://schemas.openxmlformats.org/officeDocument/2006/relationships/hyperlink" Id="rId159"/>
    <Relationship TargetMode="External" Target="https://www.legis.iowa.gov/docs/iac/rule/441.75.74.pdf" Type="http://schemas.openxmlformats.org/officeDocument/2006/relationships/hyperlink" Id="rId160"/>
    <Relationship TargetMode="External" Target="https://www.legis.iowa.gov/docs/iac/rule/441.75.50.pdf" Type="http://schemas.openxmlformats.org/officeDocument/2006/relationships/hyperlink" Id="rId161"/>
    <Relationship TargetMode="External" Target="https://www.legis.iowa.gov/docs/iac/rule/441.75.51.pdf" Type="http://schemas.openxmlformats.org/officeDocument/2006/relationships/hyperlink" Id="rId162"/>
    <Relationship TargetMode="External" Target="https://www.legis.iowa.gov/docs/iac/rule/441.75.74.pdf" Type="http://schemas.openxmlformats.org/officeDocument/2006/relationships/hyperlink" Id="rId163"/>
    <Relationship TargetMode="External" Target="https://www.legis.iowa.gov/docs/iac/rule/441.75.11.pdf" Type="http://schemas.openxmlformats.org/officeDocument/2006/relationships/hyperlink" Id="rId164"/>
    <Relationship TargetMode="External" Target="https://www.legis.iowa.gov/docs/iac/rule/441.74.2.pdf" Type="http://schemas.openxmlformats.org/officeDocument/2006/relationships/hyperlink" Id="rId165"/>
    <Relationship TargetMode="External" Target="https://www.legis.iowa.gov/docs/iac/rule/441.74.4.pdf" Type="http://schemas.openxmlformats.org/officeDocument/2006/relationships/hyperlink" Id="rId166"/>
    <Relationship TargetMode="External" Target="https://www.legis.iowa.gov/docs/iac/rule/441.75.3.pdf" Type="http://schemas.openxmlformats.org/officeDocument/2006/relationships/hyperlink" Id="rId167"/>
    <Relationship TargetMode="External" Target="https://www.legis.iowa.gov/docs/iac/rule/441.75.4.pdf" Type="http://schemas.openxmlformats.org/officeDocument/2006/relationships/hyperlink" Id="rId168"/>
    <Relationship TargetMode="External" Target="https://www.legis.iowa.gov/docs/iac/rule/441.75.7.pdf" Type="http://schemas.openxmlformats.org/officeDocument/2006/relationships/hyperlink" Id="rId169"/>
    <Relationship TargetMode="External" Target="https://www.legis.iowa.gov/docs/iac/rule/441.75.4.pdf" Type="http://schemas.openxmlformats.org/officeDocument/2006/relationships/hyperlink" Id="rId170"/>
    <Relationship TargetMode="External" Target="https://www.legis.iowa.gov/docs/iac/rule/441.76.7.pdf" Type="http://schemas.openxmlformats.org/officeDocument/2006/relationships/hyperlink" Id="rId171"/>
    <Relationship TargetMode="External" Target="https://www.legis.iowa.gov/docs/iac/rule/441.75.7.pdf" Type="http://schemas.openxmlformats.org/officeDocument/2006/relationships/hyperlink" Id="rId172"/>
    <Relationship TargetMode="External" Target="https://www.legis.iowa.gov/docs/iac/rule/441.75.7.pdf" Type="http://schemas.openxmlformats.org/officeDocument/2006/relationships/hyperlink" Id="rId173"/>
    <Relationship TargetMode="External" Target="https://www.legis.iowa.gov/docs/iac/rule/441.75.7.pdf" Type="http://schemas.openxmlformats.org/officeDocument/2006/relationships/hyperlink" Id="rId174"/>
    <Relationship TargetMode="External" Target="https://www.legis.iowa.gov/docs/iac/rule/441.75.7.pdf" Type="http://schemas.openxmlformats.org/officeDocument/2006/relationships/hyperlink" Id="rId175"/>
    <Relationship TargetMode="External" Target="https://www.legis.iowa.gov/docs/iac/rule/441.75.7.pdf" Type="http://schemas.openxmlformats.org/officeDocument/2006/relationships/hyperlink" Id="rId176"/>
    <Relationship TargetMode="External" Target="https://www.legis.iowa.gov/docs/iac/chapter/441.74.pdf" Type="http://schemas.openxmlformats.org/officeDocument/2006/relationships/hyperlink" Id="rId177"/>
    <Relationship TargetMode="External" Target="https://www.legis.iowa.gov/docs/iac/rule/441.75.3.pdf" Type="http://schemas.openxmlformats.org/officeDocument/2006/relationships/hyperlink" Id="rId178"/>
    <Relationship TargetMode="External" Target="https://www.legis.iowa.gov/docs/iac/rule/441.75.3.pdf" Type="http://schemas.openxmlformats.org/officeDocument/2006/relationships/hyperlink" Id="rId179"/>
    <Relationship TargetMode="External" Target="https://www.legis.iowa.gov/docs/iac/rule/441.40.21.pdf" Type="http://schemas.openxmlformats.org/officeDocument/2006/relationships/hyperlink" Id="rId180"/>
    <Relationship TargetMode="External" Target="https://www.legis.iowa.gov/docs/iac/rule/441.75.3.pdf" Type="http://schemas.openxmlformats.org/officeDocument/2006/relationships/hyperlink" Id="rId181"/>
    <Relationship TargetMode="External" Target="https://www.legis.iowa.gov/docs/iac/rule/441.75.8.pdf" Type="http://schemas.openxmlformats.org/officeDocument/2006/relationships/hyperlink" Id="rId182"/>
    <Relationship TargetMode="External" Target="https://www.legis.iowa.gov/docs/iac/rule/441.76.13.pdf" Type="http://schemas.openxmlformats.org/officeDocument/2006/relationships/hyperlink" Id="rId183"/>
    <Relationship TargetMode="External" Target="https://www.legis.iowa.gov/docs/iac/rule/441.76.13.pdf" Type="http://schemas.openxmlformats.org/officeDocument/2006/relationships/hyperlink" Id="rId184"/>
    <Relationship TargetMode="External" Target="https://www.legis.iowa.gov/docs/iac/rule/441.75.3.pdf" Type="http://schemas.openxmlformats.org/officeDocument/2006/relationships/hyperlink" Id="rId185"/>
    <Relationship TargetMode="External" Target="https://www.legis.iowa.gov/docs/iac/rule/441.75.72.pdf" Type="http://schemas.openxmlformats.org/officeDocument/2006/relationships/hyperlink" Id="rId186"/>
    <Relationship TargetMode="External" Target="https://www.legis.iowa.gov/docs/iac/rule/441.75.3.pdf" Type="http://schemas.openxmlformats.org/officeDocument/2006/relationships/hyperlink" Id="rId187"/>
    <Relationship TargetMode="External" Target="https://www.legis.iowa.gov/docs/iac/rule/441.75.51.pdf" Type="http://schemas.openxmlformats.org/officeDocument/2006/relationships/hyperlink" Id="rId188"/>
    <Relationship TargetMode="External" Target="https://www.legis.iowa.gov/docs/iac/rule/441.75.50.pdf" Type="http://schemas.openxmlformats.org/officeDocument/2006/relationships/hyperlink" Id="rId189"/>
    <Relationship TargetMode="External" Target="https://www.legis.iowa.gov/docs/iac/rule/441.75.8.pdf" Type="http://schemas.openxmlformats.org/officeDocument/2006/relationships/hyperlink" Id="rId190"/>
    <Relationship TargetMode="External" Target="https://www.legis.iowa.gov/docs/iac/rule/441.75.8.pdf" Type="http://schemas.openxmlformats.org/officeDocument/2006/relationships/hyperlink" Id="rId191"/>
    <Relationship TargetMode="External" Target="https://www.legis.iowa.gov/docs/iac/rule/441.75.8.pdf" Type="http://schemas.openxmlformats.org/officeDocument/2006/relationships/hyperlink" Id="rId192"/>
    <Relationship TargetMode="External" Target="https://www.legis.iowa.gov/docs/iac/rule/441.75.8.pdf" Type="http://schemas.openxmlformats.org/officeDocument/2006/relationships/hyperlink" Id="rId193"/>
    <Relationship TargetMode="External" Target="https://www.legis.iowa.gov/docs/iac/rule/441.75.82.pdf" Type="http://schemas.openxmlformats.org/officeDocument/2006/relationships/hyperlink" Id="rId194"/>
    <Relationship TargetMode="External" Target="https://www.legis.iowa.gov/docs/iac/rule/441.75.82.pdf" Type="http://schemas.openxmlformats.org/officeDocument/2006/relationships/hyperlink" Id="rId195"/>
    <Relationship TargetMode="External" Target="https://www.legis.iowa.gov/docs/iac/rule/441.75.8.pdf" Type="http://schemas.openxmlformats.org/officeDocument/2006/relationships/hyperlink" Id="rId196"/>
    <Relationship TargetMode="External" Target="https://www.legis.iowa.gov/docs/iac/rule/441.75.8.pdf" Type="http://schemas.openxmlformats.org/officeDocument/2006/relationships/hyperlink" Id="rId197"/>
    <Relationship TargetMode="External" Target="https://www.legis.iowa.gov/docs/iac/rule/441.75.8.pdf" Type="http://schemas.openxmlformats.org/officeDocument/2006/relationships/hyperlink" Id="rId198"/>
    <Relationship TargetMode="External" Target="https://www.legis.iowa.gov/docs/iac/rule/441.41.28.pdf" Type="http://schemas.openxmlformats.org/officeDocument/2006/relationships/hyperlink" Id="rId199"/>
    <Relationship TargetMode="External" Target="https://www.legis.iowa.gov/docs/iac/rule/441.75.23.pdf" Type="http://schemas.openxmlformats.org/officeDocument/2006/relationships/hyperlink" Id="rId200"/>
    <Relationship TargetMode="External" Target="https://www.legis.iowa.gov/docs/iac/rule/441.41.26.pdf" Type="http://schemas.openxmlformats.org/officeDocument/2006/relationships/hyperlink" Id="rId201"/>
    <Relationship TargetMode="External" Target="https://www.legis.iowa.gov/docs/iac/rule/441.75.8.pdf" Type="http://schemas.openxmlformats.org/officeDocument/2006/relationships/hyperlink" Id="rId202"/>
    <Relationship TargetMode="External" Target="https://www.legis.iowa.gov/docs/iac/rule/441.75.8.pdf" Type="http://schemas.openxmlformats.org/officeDocument/2006/relationships/hyperlink" Id="rId203"/>
    <Relationship TargetMode="External" Target="https://www.legis.iowa.gov/docs/iac/rule/441.75.8.pdf" Type="http://schemas.openxmlformats.org/officeDocument/2006/relationships/hyperlink" Id="rId204"/>
    <Relationship TargetMode="External" Target="https://www.legis.iowa.gov/docs/iac/rule/441.41.27.pdf" Type="http://schemas.openxmlformats.org/officeDocument/2006/relationships/hyperlink" Id="rId205"/>
    <Relationship TargetMode="External" Target="https://www.legis.iowa.gov/docs/iac/rule/441.41.27.pdf" Type="http://schemas.openxmlformats.org/officeDocument/2006/relationships/hyperlink" Id="rId206"/>
    <Relationship TargetMode="External" Target="https://www.legis.iowa.gov/docs/iac/rule/441.41.27.pdf" Type="http://schemas.openxmlformats.org/officeDocument/2006/relationships/hyperlink" Id="rId207"/>
    <Relationship TargetMode="External" Target="https://www.legis.iowa.gov/docs/iac/rule/441.41.28.pdf" Type="http://schemas.openxmlformats.org/officeDocument/2006/relationships/hyperlink" Id="rId208"/>
    <Relationship TargetMode="External" Target="https://www.legis.iowa.gov/docs/iac/rule/441.41.28.pdf" Type="http://schemas.openxmlformats.org/officeDocument/2006/relationships/hyperlink" Id="rId209"/>
    <Relationship TargetMode="External" Target="https://www.legis.iowa.gov/docs/iac/rule/441.75.8.pdf" Type="http://schemas.openxmlformats.org/officeDocument/2006/relationships/hyperlink" Id="rId210"/>
    <Relationship TargetMode="External" Target="https://www.legis.iowa.gov/docs/iac/rule/441.41.26.pdf" Type="http://schemas.openxmlformats.org/officeDocument/2006/relationships/hyperlink" Id="rId211"/>
    <Relationship TargetMode="External" Target="https://www.legis.iowa.gov/docs/iac/rule/441.41.27.pdf" Type="http://schemas.openxmlformats.org/officeDocument/2006/relationships/hyperlink" Id="rId212"/>
    <Relationship TargetMode="External" Target="https://www.legis.iowa.gov/docs/iac/rule/441.41.27.pdf" Type="http://schemas.openxmlformats.org/officeDocument/2006/relationships/hyperlink" Id="rId213"/>
    <Relationship TargetMode="External" Target="https://www.legis.iowa.gov/docs/iac/rule/441.41.27.pdf" Type="http://schemas.openxmlformats.org/officeDocument/2006/relationships/hyperlink" Id="rId214"/>
    <Relationship TargetMode="External" Target="https://www.legis.iowa.gov/docs/iac/rule/441.41.27.pdf" Type="http://schemas.openxmlformats.org/officeDocument/2006/relationships/hyperlink" Id="rId215"/>
    <Relationship TargetMode="External" Target="https://www.legis.iowa.gov/docs/iac/rule/441.41.27.pdf" Type="http://schemas.openxmlformats.org/officeDocument/2006/relationships/hyperlink" Id="rId216"/>
    <Relationship TargetMode="External" Target="https://www.legis.iowa.gov/docs/iac/rule/441.41.27.pdf" Type="http://schemas.openxmlformats.org/officeDocument/2006/relationships/hyperlink" Id="rId217"/>
    <Relationship TargetMode="External" Target="https://www.legis.iowa.gov/docs/iac/rule/441.41.27.pdf" Type="http://schemas.openxmlformats.org/officeDocument/2006/relationships/hyperlink" Id="rId218"/>
    <Relationship TargetMode="External" Target="https://www.legis.iowa.gov/docs/iac/rule/441.76.13.pdf" Type="http://schemas.openxmlformats.org/officeDocument/2006/relationships/hyperlink" Id="rId219"/>
    <Relationship TargetMode="External" Target="https://www.legis.iowa.gov/docs/iac/rule/441.41.28.pdf" Type="http://schemas.openxmlformats.org/officeDocument/2006/relationships/hyperlink" Id="rId220"/>
    <Relationship TargetMode="External" Target="https://www.legis.iowa.gov/docs/iac/rule/441.75.8.pdf" Type="http://schemas.openxmlformats.org/officeDocument/2006/relationships/hyperlink" Id="rId221"/>
    <Relationship TargetMode="External" Target="https://www.legis.iowa.gov/docs/iac/rule/441.75.8.pdf" Type="http://schemas.openxmlformats.org/officeDocument/2006/relationships/hyperlink" Id="rId222"/>
    <Relationship TargetMode="External" Target="https://www.legis.iowa.gov/docs/iac/rule/441.76.13.pdf" Type="http://schemas.openxmlformats.org/officeDocument/2006/relationships/hyperlink" Id="rId223"/>
    <Relationship TargetMode="External" Target="https://www.legis.iowa.gov/docs/iac/rule/441.75.8.pdf" Type="http://schemas.openxmlformats.org/officeDocument/2006/relationships/hyperlink" Id="rId224"/>
    <Relationship TargetMode="External" Target="https://www.legis.iowa.gov/docs/iac/rule/441.76.13.pdf" Type="http://schemas.openxmlformats.org/officeDocument/2006/relationships/hyperlink" Id="rId225"/>
    <Relationship TargetMode="External" Target="https://www.legis.iowa.gov/docs/iac/rule/441.78.13.pdf" Type="http://schemas.openxmlformats.org/officeDocument/2006/relationships/hyperlink" Id="rId226"/>
    <Relationship TargetMode="External" Target="https://www.legis.iowa.gov/docs/iac/rule/441.76.13.pdf" Type="http://schemas.openxmlformats.org/officeDocument/2006/relationships/hyperlink" Id="rId227"/>
    <Relationship TargetMode="External" Target="https://www.legis.iowa.gov/docs/iac/rule/441.76.13.pdf" Type="http://schemas.openxmlformats.org/officeDocument/2006/relationships/hyperlink" Id="rId228"/>
    <Relationship TargetMode="External" Target="https://www.legis.iowa.gov/docs/iac/rule/441.75.8.pdf" Type="http://schemas.openxmlformats.org/officeDocument/2006/relationships/hyperlink" Id="rId229"/>
    <Relationship TargetMode="External" Target="https://www.legis.iowa.gov/docs/iac/rule/441.75.21.pdf" Type="http://schemas.openxmlformats.org/officeDocument/2006/relationships/hyperlink" Id="rId230"/>
    <Relationship TargetMode="External" Target="https://www.legis.iowa.gov/docs/iac/rule/441.75.8.pdf" Type="http://schemas.openxmlformats.org/officeDocument/2006/relationships/hyperlink" Id="rId231"/>
    <Relationship TargetMode="External" Target="https://www.legis.iowa.gov/docs/iac/rule/441.75.8.pdf" Type="http://schemas.openxmlformats.org/officeDocument/2006/relationships/hyperlink" Id="rId232"/>
    <Relationship TargetMode="External" Target="https://www.legis.iowa.gov/docs/iac/rule/441.75.9.pdf" Type="http://schemas.openxmlformats.org/officeDocument/2006/relationships/hyperlink" Id="rId233"/>
    <Relationship TargetMode="External" Target="https://www.legis.iowa.gov/docs/iac/rule/441.75.9.pdf" Type="http://schemas.openxmlformats.org/officeDocument/2006/relationships/hyperlink" Id="rId234"/>
    <Relationship TargetMode="External" Target="https://www.legis.iowa.gov/docs/iac/chapter/441.50.pdf" Type="http://schemas.openxmlformats.org/officeDocument/2006/relationships/hyperlink" Id="rId235"/>
    <Relationship TargetMode="External" Target="https://www.legis.iowa.gov/docs/iac/chapter/441.54.pdf" Type="http://schemas.openxmlformats.org/officeDocument/2006/relationships/hyperlink" Id="rId236"/>
    <Relationship TargetMode="External" Target="https://www.legis.iowa.gov/docs/iac/chapter/441.177.pdf" Type="http://schemas.openxmlformats.org/officeDocument/2006/relationships/hyperlink" Id="rId237"/>
    <Relationship TargetMode="External" Target="https://www.legis.iowa.gov/docs/iac/rule/441.75.10.pdf" Type="http://schemas.openxmlformats.org/officeDocument/2006/relationships/hyperlink" Id="rId238"/>
    <Relationship TargetMode="External" Target="https://www.legis.iowa.gov/docs/iac/rule/441.75.10.pdf" Type="http://schemas.openxmlformats.org/officeDocument/2006/relationships/hyperlink" Id="rId239"/>
    <Relationship TargetMode="External" Target="https://www.legis.iowa.gov/docs/iac/rule/441.75.10.pdf" Type="http://schemas.openxmlformats.org/officeDocument/2006/relationships/hyperlink" Id="rId240"/>
    <Relationship TargetMode="External" Target="https://www.legis.iowa.gov/docs/iac/rule/441.75.11.pdf" Type="http://schemas.openxmlformats.org/officeDocument/2006/relationships/hyperlink" Id="rId241"/>
    <Relationship TargetMode="External" Target="https://www.legis.iowa.gov/docs/iac/rule/441.75.11.pdf" Type="http://schemas.openxmlformats.org/officeDocument/2006/relationships/hyperlink" Id="rId242"/>
    <Relationship TargetMode="External" Target="https://www.legis.iowa.gov/docs/iac/rule/441.75.11.pdf" Type="http://schemas.openxmlformats.org/officeDocument/2006/relationships/hyperlink" Id="rId243"/>
    <Relationship TargetMode="External" Target="https://www.legis.iowa.gov/docs/iac/rule/441.76.1.pdf" Type="http://schemas.openxmlformats.org/officeDocument/2006/relationships/hyperlink" Id="rId244"/>
    <Relationship TargetMode="External" Target="https://www.legis.iowa.gov/docs/iac/rule/441.75.11.pdf" Type="http://schemas.openxmlformats.org/officeDocument/2006/relationships/hyperlink" Id="rId245"/>
    <Relationship TargetMode="External" Target="https://www.legis.iowa.gov/docs/iac/rule/441.75.11.pdf" Type="http://schemas.openxmlformats.org/officeDocument/2006/relationships/hyperlink" Id="rId246"/>
    <Relationship TargetMode="External" Target="https://www.legis.iowa.gov/docs/iac/rule/441.76.4.pdf" Type="http://schemas.openxmlformats.org/officeDocument/2006/relationships/hyperlink" Id="rId247"/>
    <Relationship TargetMode="External" Target="https://www.legis.iowa.gov/docs/iac/rule/441.75.11.pdf" Type="http://schemas.openxmlformats.org/officeDocument/2006/relationships/hyperlink" Id="rId248"/>
    <Relationship TargetMode="External" Target="https://www.legis.iowa.gov/docs/iac/rule/441.75.11.pdf" Type="http://schemas.openxmlformats.org/officeDocument/2006/relationships/hyperlink" Id="rId249"/>
    <Relationship TargetMode="External" Target="https://www.legis.iowa.gov/docs/iac/rule/441.75.11.pdf" Type="http://schemas.openxmlformats.org/officeDocument/2006/relationships/hyperlink" Id="rId250"/>
    <Relationship TargetMode="External" Target="https://www.legis.iowa.gov/docs/iac/rule/441.75.11.pdf" Type="http://schemas.openxmlformats.org/officeDocument/2006/relationships/hyperlink" Id="rId251"/>
    <Relationship TargetMode="External" Target="https://www.legis.iowa.gov/docs/iac/rule/441.75.11.pdf" Type="http://schemas.openxmlformats.org/officeDocument/2006/relationships/hyperlink" Id="rId252"/>
    <Relationship TargetMode="External" Target="https://www.legis.iowa.gov/docs/iac/rule/441.75.11.pdf" Type="http://schemas.openxmlformats.org/officeDocument/2006/relationships/hyperlink" Id="rId253"/>
    <Relationship TargetMode="External" Target="https://www.legis.iowa.gov/docs/iac/rule/441.75.11.pdf" Type="http://schemas.openxmlformats.org/officeDocument/2006/relationships/hyperlink" Id="rId254"/>
    <Relationship TargetMode="External" Target="https://www.legis.iowa.gov/docs/iac/rule/441.75.11.pdf" Type="http://schemas.openxmlformats.org/officeDocument/2006/relationships/hyperlink" Id="rId255"/>
    <Relationship TargetMode="External" Target="https://www.legis.iowa.gov/docs/iac/rule/441.76.16.pdf" Type="http://schemas.openxmlformats.org/officeDocument/2006/relationships/hyperlink" Id="rId256"/>
    <Relationship TargetMode="External" Target="https://www.legis.iowa.gov/docs/iac/rule/441.76.13.pdf" Type="http://schemas.openxmlformats.org/officeDocument/2006/relationships/hyperlink" Id="rId257"/>
    <Relationship TargetMode="External" Target="https://www.legis.iowa.gov/docs/iac/rule/441.75.11.pdf" Type="http://schemas.openxmlformats.org/officeDocument/2006/relationships/hyperlink" Id="rId258"/>
    <Relationship TargetMode="External" Target="https://www.legis.iowa.gov/docs/iac/rule/441.75.11.pdf" Type="http://schemas.openxmlformats.org/officeDocument/2006/relationships/hyperlink" Id="rId259"/>
    <Relationship TargetMode="External" Target="https://www.legis.iowa.gov/docs/iac/rule/441.75.11.pdf" Type="http://schemas.openxmlformats.org/officeDocument/2006/relationships/hyperlink" Id="rId260"/>
    <Relationship TargetMode="External" Target="https://www.legis.iowa.gov/docs/iac/rule/441.75.11.pdf" Type="http://schemas.openxmlformats.org/officeDocument/2006/relationships/hyperlink" Id="rId261"/>
    <Relationship TargetMode="External" Target="https://www.legis.iowa.gov/docs/iac/rule/441.75.11.pdf" Type="http://schemas.openxmlformats.org/officeDocument/2006/relationships/hyperlink" Id="rId262"/>
    <Relationship TargetMode="External" Target="https://www.legis.iowa.gov/docs/iac/rule/441.75.11.pdf" Type="http://schemas.openxmlformats.org/officeDocument/2006/relationships/hyperlink" Id="rId263"/>
    <Relationship TargetMode="External" Target="https://www.legis.iowa.gov/docs/iac/rule/441.75.11.pdf" Type="http://schemas.openxmlformats.org/officeDocument/2006/relationships/hyperlink" Id="rId264"/>
    <Relationship TargetMode="External" Target="https://www.legis.iowa.gov/docs/ico/chapter/232.2.pdf" Type="http://schemas.openxmlformats.org/officeDocument/2006/relationships/hyperlink" Id="rId265"/>
    <Relationship TargetMode="External" Target="https://www.legis.iowa.gov/docs/iac/rule/441.75.11.pdf" Type="http://schemas.openxmlformats.org/officeDocument/2006/relationships/hyperlink" Id="rId266"/>
    <Relationship TargetMode="External" Target="https://www.legis.iowa.gov/docs/ico/chapter/232.2.pdf" Type="http://schemas.openxmlformats.org/officeDocument/2006/relationships/hyperlink" Id="rId267"/>
    <Relationship TargetMode="External" Target="https://www.legis.iowa.gov/docs/iac/rule/441.75.11.pdf" Type="http://schemas.openxmlformats.org/officeDocument/2006/relationships/hyperlink" Id="rId268"/>
    <Relationship TargetMode="External" Target="https://www.legis.iowa.gov/docs/iac/rule/441.75.11.pdf" Type="http://schemas.openxmlformats.org/officeDocument/2006/relationships/hyperlink" Id="rId269"/>
    <Relationship TargetMode="External" Target="https://www.legis.iowa.gov/docs/iac/rule/441.75.3.pdf" Type="http://schemas.openxmlformats.org/officeDocument/2006/relationships/hyperlink" Id="rId270"/>
    <Relationship TargetMode="External" Target="https://www.legis.iowa.gov/docs/iac/rule/441.75.9.pdf" Type="http://schemas.openxmlformats.org/officeDocument/2006/relationships/hyperlink" Id="rId271"/>
    <Relationship TargetMode="External" Target="https://www.legis.iowa.gov/docs/iac/rule/441.75.11.pdf" Type="http://schemas.openxmlformats.org/officeDocument/2006/relationships/hyperlink" Id="rId272"/>
    <Relationship TargetMode="External" Target="https://www.legis.iowa.gov/docs/iac/rule/441.75.11.pdf" Type="http://schemas.openxmlformats.org/officeDocument/2006/relationships/hyperlink" Id="rId273"/>
    <Relationship TargetMode="External" Target="https://www.legis.iowa.gov/docs/iac/rule/441.75.11.pdf" Type="http://schemas.openxmlformats.org/officeDocument/2006/relationships/hyperlink" Id="rId274"/>
    <Relationship TargetMode="External" Target="https://www.legis.iowa.gov/docs/iac/rule/441.75.10.pdf" Type="http://schemas.openxmlformats.org/officeDocument/2006/relationships/hyperlink" Id="rId275"/>
    <Relationship TargetMode="External" Target="https://www.legis.iowa.gov/docs/iac/rule/441.75.9.pdf" Type="http://schemas.openxmlformats.org/officeDocument/2006/relationships/hyperlink" Id="rId276"/>
    <Relationship TargetMode="External" Target="https://www.legis.iowa.gov/docs/iac/rule/441.75.11.pdf" Type="http://schemas.openxmlformats.org/officeDocument/2006/relationships/hyperlink" Id="rId277"/>
    <Relationship TargetMode="External" Target="https://www.legis.iowa.gov/docs/iac/rule/441.75.11.pdf" Type="http://schemas.openxmlformats.org/officeDocument/2006/relationships/hyperlink" Id="rId278"/>
    <Relationship TargetMode="External" Target="https://www.legis.iowa.gov/docs/ico/chapter/249A.3.pdf" Type="http://schemas.openxmlformats.org/officeDocument/2006/relationships/hyperlink" Id="rId279"/>
    <Relationship TargetMode="External" Target="https://www.legis.iowa.gov/docs/iac/rule/441.75.14.pdf" Type="http://schemas.openxmlformats.org/officeDocument/2006/relationships/hyperlink" Id="rId280"/>
    <Relationship TargetMode="External" Target="https://www.legis.iowa.gov/docs/iac/chapter/441.95.pdf" Type="http://schemas.openxmlformats.org/officeDocument/2006/relationships/hyperlink" Id="rId281"/>
    <Relationship TargetMode="External" Target="https://www.legis.iowa.gov/docs/iac/rule/441.75.73.pdf" Type="http://schemas.openxmlformats.org/officeDocument/2006/relationships/hyperlink" Id="rId282"/>
    <Relationship TargetMode="External" Target="https://www.legis.iowa.gov/docs/iac/rule/441.75.14.pdf" Type="http://schemas.openxmlformats.org/officeDocument/2006/relationships/hyperlink" Id="rId283"/>
    <Relationship TargetMode="External" Target="https://www.legis.iowa.gov/docs/iac/rule/441.75.14.pdf" Type="http://schemas.openxmlformats.org/officeDocument/2006/relationships/hyperlink" Id="rId284"/>
    <Relationship TargetMode="External" Target="https://www.legis.iowa.gov/docs/iac/rule/441.75.3.pdf" Type="http://schemas.openxmlformats.org/officeDocument/2006/relationships/hyperlink" Id="rId285"/>
    <Relationship TargetMode="External" Target="https://www.legis.iowa.gov/docs/iac/rule/441.75.3.pdf" Type="http://schemas.openxmlformats.org/officeDocument/2006/relationships/hyperlink" Id="rId286"/>
    <Relationship TargetMode="External" Target="https://www.legis.iowa.gov/docs/iac/rule/441.75.3.pdf" Type="http://schemas.openxmlformats.org/officeDocument/2006/relationships/hyperlink" Id="rId287"/>
    <Relationship TargetMode="External" Target="https://www.legis.iowa.gov/docs/iac/rule/441.75.3.pdf" Type="http://schemas.openxmlformats.org/officeDocument/2006/relationships/hyperlink" Id="rId288"/>
    <Relationship TargetMode="External" Target="https://www.legis.iowa.gov/docs/iac/rule/441.75.3.pdf" Type="http://schemas.openxmlformats.org/officeDocument/2006/relationships/hyperlink" Id="rId289"/>
    <Relationship TargetMode="External" Target="https://www.legis.iowa.gov/docs/iac/rule/441.75.14.pdf" Type="http://schemas.openxmlformats.org/officeDocument/2006/relationships/hyperlink" Id="rId290"/>
    <Relationship TargetMode="External" Target="https://www.legis.iowa.gov/docs/iac/rule/441.75.3.pdf" Type="http://schemas.openxmlformats.org/officeDocument/2006/relationships/hyperlink" Id="rId291"/>
    <Relationship TargetMode="External" Target="https://www.legis.iowa.gov/docs/iac/rule/441.75.3.pdf" Type="http://schemas.openxmlformats.org/officeDocument/2006/relationships/hyperlink" Id="rId292"/>
    <Relationship TargetMode="External" Target="https://www.legis.iowa.gov/docs/iac/rule/441.75.14.pdf" Type="http://schemas.openxmlformats.org/officeDocument/2006/relationships/hyperlink" Id="rId293"/>
    <Relationship TargetMode="External" Target="https://www.legis.iowa.gov/docs/iac/rule/441.75.14.pdf" Type="http://schemas.openxmlformats.org/officeDocument/2006/relationships/hyperlink" Id="rId294"/>
    <Relationship TargetMode="External" Target="https://www.legis.iowa.gov/docs/iac/rule/441.75.1.pdf" Type="http://schemas.openxmlformats.org/officeDocument/2006/relationships/hyperlink" Id="rId295"/>
    <Relationship TargetMode="External" Target="https://www.legis.iowa.gov/docs/iac/rule/441.76.2.pdf" Type="http://schemas.openxmlformats.org/officeDocument/2006/relationships/hyperlink" Id="rId296"/>
    <Relationship TargetMode="External" Target="https://www.legis.iowa.gov/docs/iac/rule/441.75.15.pdf" Type="http://schemas.openxmlformats.org/officeDocument/2006/relationships/hyperlink" Id="rId297"/>
    <Relationship TargetMode="External" Target="https://www.legis.iowa.gov/docs/iac/rule/441.75.15.pdf" Type="http://schemas.openxmlformats.org/officeDocument/2006/relationships/hyperlink" Id="rId298"/>
    <Relationship TargetMode="External" Target="https://www.legis.iowa.gov/docs/ico/chapter/249A.4.pdf" Type="http://schemas.openxmlformats.org/officeDocument/2006/relationships/hyperlink" Id="rId299"/>
    <Relationship TargetMode="External" Target="https://www.legis.iowa.gov/docs/ico/chapter/249A.54.pdf" Type="http://schemas.openxmlformats.org/officeDocument/2006/relationships/hyperlink" Id="rId300"/>
    <Relationship TargetMode="External" Target="https://www.legis.iowa.gov/docs/iac/rule/441.75.16.pdf" Type="http://schemas.openxmlformats.org/officeDocument/2006/relationships/hyperlink" Id="rId301"/>
    <Relationship TargetMode="External" Target="https://www.legis.iowa.gov/docs/ico/chapter/249A.54.pdf" Type="http://schemas.openxmlformats.org/officeDocument/2006/relationships/hyperlink" Id="rId302"/>
    <Relationship TargetMode="External" Target="https://www.legis.iowa.gov/docs/ico/chapter/249A.4.pdf" Type="http://schemas.openxmlformats.org/officeDocument/2006/relationships/hyperlink" Id="rId303"/>
    <Relationship TargetMode="External" Target="https://www.legis.iowa.gov/docs/ico/chapter/249A.54.pdf" Type="http://schemas.openxmlformats.org/officeDocument/2006/relationships/hyperlink" Id="rId304"/>
    <Relationship TargetMode="External" Target="https://www.legis.iowa.gov/docs/iac/rule/441.75.3.pdf" Type="http://schemas.openxmlformats.org/officeDocument/2006/relationships/hyperlink" Id="rId305"/>
    <Relationship TargetMode="External" Target="https://www.legis.iowa.gov/docs/iac/rule/441.75.3.pdf" Type="http://schemas.openxmlformats.org/officeDocument/2006/relationships/hyperlink" Id="rId306"/>
    <Relationship TargetMode="External" Target="https://www.legis.iowa.gov/docs/iac/rule/441.76.14.pdf" Type="http://schemas.openxmlformats.org/officeDocument/2006/relationships/hyperlink" Id="rId307"/>
    <Relationship TargetMode="External" Target="https://www.legis.iowa.gov/docs/iac/rule/441.76.14.pdf" Type="http://schemas.openxmlformats.org/officeDocument/2006/relationships/hyperlink" Id="rId308"/>
    <Relationship TargetMode="External" Target="https://www.legis.iowa.gov/docs/iac/rule/441.75.11.pdf" Type="http://schemas.openxmlformats.org/officeDocument/2006/relationships/hyperlink" Id="rId309"/>
    <Relationship TargetMode="External" Target="https://www.legis.iowa.gov/docs/iac/rule/441.75.3.pdf" Type="http://schemas.openxmlformats.org/officeDocument/2006/relationships/hyperlink" Id="rId310"/>
    <Relationship TargetMode="External" Target="https://www.legis.iowa.gov/docs/iac/rule/441.75.8.pdf" Type="http://schemas.openxmlformats.org/officeDocument/2006/relationships/hyperlink" Id="rId311"/>
    <Relationship TargetMode="External" Target="https://www.legis.iowa.gov/docs/iac/rule/441.76.13.pdf" Type="http://schemas.openxmlformats.org/officeDocument/2006/relationships/hyperlink" Id="rId312"/>
    <Relationship TargetMode="External" Target="https://www.legis.iowa.gov/docs/iac/rule/441.75.11.pdf" Type="http://schemas.openxmlformats.org/officeDocument/2006/relationships/hyperlink" Id="rId313"/>
    <Relationship TargetMode="External" Target="https://www.legis.iowa.gov/docs/iac/rule/441.76.4.pdf" Type="http://schemas.openxmlformats.org/officeDocument/2006/relationships/hyperlink" Id="rId314"/>
    <Relationship TargetMode="External" Target="https://www.legis.iowa.gov/docs/iac/rule/441.75.52.pdf" Type="http://schemas.openxmlformats.org/officeDocument/2006/relationships/hyperlink" Id="rId315"/>
    <Relationship TargetMode="External" Target="https://www.legis.iowa.gov/docs/iac/rule/441.75.10.pdf" Type="http://schemas.openxmlformats.org/officeDocument/2006/relationships/hyperlink" Id="rId316"/>
    <Relationship TargetMode="External" Target="https://www.legis.iowa.gov/docs/iac/rule/441.75.3.pdf" Type="http://schemas.openxmlformats.org/officeDocument/2006/relationships/hyperlink" Id="rId317"/>
    <Relationship TargetMode="External" Target="https://www.legis.iowa.gov/docs/iac/rule/441.75.8.pdf" Type="http://schemas.openxmlformats.org/officeDocument/2006/relationships/hyperlink" Id="rId318"/>
    <Relationship TargetMode="External" Target="https://www.legis.iowa.gov/docs/iac/chapter/441.78.pdf" Type="http://schemas.openxmlformats.org/officeDocument/2006/relationships/hyperlink" Id="rId319"/>
    <Relationship TargetMode="External" Target="https://www.legis.iowa.gov/docs/iac/chapter/441.80.pdf" Type="http://schemas.openxmlformats.org/officeDocument/2006/relationships/hyperlink" Id="rId320"/>
    <Relationship TargetMode="External" Target="https://www.legis.iowa.gov/docs/iac/chapter/441.2506.pdf" Type="http://schemas.openxmlformats.org/officeDocument/2006/relationships/hyperlink" Id="rId321"/>
    <Relationship TargetMode="External" Target="https://www.legis.iowa.gov/docs/iac/rule/441.76.9.pdf" Type="http://schemas.openxmlformats.org/officeDocument/2006/relationships/hyperlink" Id="rId322"/>
    <Relationship TargetMode="External" Target="https://www.legis.iowa.gov/docs/iac/rule/441.76.9.pdf" Type="http://schemas.openxmlformats.org/officeDocument/2006/relationships/hyperlink" Id="rId323"/>
    <Relationship TargetMode="External" Target="https://www.legis.iowa.gov/docs/iac/rule/441.75.21.pdf" Type="http://schemas.openxmlformats.org/officeDocument/2006/relationships/hyperlink" Id="rId324"/>
    <Relationship TargetMode="External" Target="https://www.legis.iowa.gov/docs/iac/rule/441.75.8.pdf" Type="http://schemas.openxmlformats.org/officeDocument/2006/relationships/hyperlink" Id="rId325"/>
    <Relationship TargetMode="External" Target="https://www.legis.iowa.gov/docs/ico/chapter/514E.pdf" Type="http://schemas.openxmlformats.org/officeDocument/2006/relationships/hyperlink" Id="rId326"/>
    <Relationship TargetMode="External" Target="https://www.legis.iowa.gov/docs/iac/rule/441.75.6.pdf" Type="http://schemas.openxmlformats.org/officeDocument/2006/relationships/hyperlink" Id="rId327"/>
    <Relationship TargetMode="External" Target="https://www.legis.iowa.gov/docs/iac/chapter/441.79.pdf" Type="http://schemas.openxmlformats.org/officeDocument/2006/relationships/hyperlink" Id="rId328"/>
    <Relationship TargetMode="External" Target="https://www.legis.iowa.gov/docs/iac/chapter/441.80.pdf" Type="http://schemas.openxmlformats.org/officeDocument/2006/relationships/hyperlink" Id="rId329"/>
    <Relationship TargetMode="External" Target="https://www.legis.iowa.gov/docs/iac/rule/441.75.21.pdf" Type="http://schemas.openxmlformats.org/officeDocument/2006/relationships/hyperlink" Id="rId330"/>
    <Relationship TargetMode="External" Target="https://www.legis.iowa.gov/docs/iac/rule/441.75.21.pdf" Type="http://schemas.openxmlformats.org/officeDocument/2006/relationships/hyperlink" Id="rId331"/>
    <Relationship TargetMode="External" Target="https://www.legis.iowa.gov/docs/iac/rule/441.16.2.pdf" Type="http://schemas.openxmlformats.org/officeDocument/2006/relationships/hyperlink" Id="rId332"/>
    <Relationship TargetMode="External" Target="https://www.legis.iowa.gov/docs/iac/rule/441.75.21.pdf" Type="http://schemas.openxmlformats.org/officeDocument/2006/relationships/hyperlink" Id="rId333"/>
    <Relationship TargetMode="External" Target="https://www.legis.iowa.gov/docs/iac/rule/441.75.21.pdf" Type="http://schemas.openxmlformats.org/officeDocument/2006/relationships/hyperlink" Id="rId334"/>
    <Relationship TargetMode="External" Target="https://www.legis.iowa.gov/docs/iac/chapter/441.11.pdf" Type="http://schemas.openxmlformats.org/officeDocument/2006/relationships/hyperlink" Id="rId335"/>
    <Relationship TargetMode="External" Target="https://www.legis.iowa.gov/docs/ico/chapter/141A.1.pdf" Type="http://schemas.openxmlformats.org/officeDocument/2006/relationships/hyperlink" Id="rId336"/>
    <Relationship TargetMode="External" Target="https://www.legis.iowa.gov/docs/iac/rule/441.75.10.pdf" Type="http://schemas.openxmlformats.org/officeDocument/2006/relationships/hyperlink" Id="rId337"/>
    <Relationship TargetMode="External" Target="https://www.legis.iowa.gov/docs/iac/rule/441.75.8.pdf" Type="http://schemas.openxmlformats.org/officeDocument/2006/relationships/hyperlink" Id="rId338"/>
    <Relationship TargetMode="External" Target="https://www.legis.iowa.gov/docs/iac/rule/441.75.21.pdf" Type="http://schemas.openxmlformats.org/officeDocument/2006/relationships/hyperlink" Id="rId339"/>
    <Relationship TargetMode="External" Target="https://www.legis.iowa.gov/docs/iac/rule/441.75.21.pdf" Type="http://schemas.openxmlformats.org/officeDocument/2006/relationships/hyperlink" Id="rId340"/>
    <Relationship TargetMode="External" Target="https://www.legis.iowa.gov/docs/iac/rule/441.75.21.pdf" Type="http://schemas.openxmlformats.org/officeDocument/2006/relationships/hyperlink" Id="rId341"/>
    <Relationship TargetMode="External" Target="https://www.legis.iowa.gov/docs/iac/rule/441.16.1.pdf" Type="http://schemas.openxmlformats.org/officeDocument/2006/relationships/hyperlink" Id="rId342"/>
    <Relationship TargetMode="External" Target="https://www.legis.iowa.gov/docs/iac/rule/441.75.21.pdf" Type="http://schemas.openxmlformats.org/officeDocument/2006/relationships/hyperlink" Id="rId343"/>
    <Relationship TargetMode="External" Target="https://www.legis.iowa.gov/docs/iac/rule/441.16.2.pdf" Type="http://schemas.openxmlformats.org/officeDocument/2006/relationships/hyperlink" Id="rId344"/>
    <Relationship TargetMode="External" Target="https://www.legis.iowa.gov/docs/ico/chapter/141A.9.pdf" Type="http://schemas.openxmlformats.org/officeDocument/2006/relationships/hyperlink" Id="rId345"/>
    <Relationship TargetMode="External" Target="https://www.legis.iowa.gov/docs/iac/chapter/441.75.pdf" Type="http://schemas.openxmlformats.org/officeDocument/2006/relationships/hyperlink" Id="rId346"/>
    <Relationship TargetMode="External" Target="https://www.legis.iowa.gov/docs/iac/chapter/441.83.pdf" Type="http://schemas.openxmlformats.org/officeDocument/2006/relationships/hyperlink" Id="rId347"/>
    <Relationship TargetMode="External" Target="https://www.legis.iowa.gov/docs/iac/rule/441.75.23.pdf" Type="http://schemas.openxmlformats.org/officeDocument/2006/relationships/hyperlink" Id="rId348"/>
    <Relationship TargetMode="External" Target="https://www.legis.iowa.gov/docs/iac/rule/441.75.23.pdf" Type="http://schemas.openxmlformats.org/officeDocument/2006/relationships/hyperlink" Id="rId349"/>
    <Relationship TargetMode="External" Target="https://www.legis.iowa.gov/docs/iac/rule/441.75.23.pdf" Type="http://schemas.openxmlformats.org/officeDocument/2006/relationships/hyperlink" Id="rId350"/>
    <Relationship TargetMode="External" Target="https://www.legis.iowa.gov/docs/iac/rule/441.75.23.pdf" Type="http://schemas.openxmlformats.org/officeDocument/2006/relationships/hyperlink" Id="rId351"/>
    <Relationship TargetMode="External" Target="https://www.legis.iowa.gov/docs/iac/rule/441.75.23.pdf" Type="http://schemas.openxmlformats.org/officeDocument/2006/relationships/hyperlink" Id="rId352"/>
    <Relationship TargetMode="External" Target="https://www.legis.iowa.gov/docs/iac/rule/441.75.23.pdf" Type="http://schemas.openxmlformats.org/officeDocument/2006/relationships/hyperlink" Id="rId353"/>
    <Relationship TargetMode="External" Target="https://www.legis.iowa.gov/docs/iac/rule/441.75.23.pdf" Type="http://schemas.openxmlformats.org/officeDocument/2006/relationships/hyperlink" Id="rId354"/>
    <Relationship TargetMode="External" Target="https://www.legis.iowa.gov/docs/iac/rule/441.75.23.pdf" Type="http://schemas.openxmlformats.org/officeDocument/2006/relationships/hyperlink" Id="rId355"/>
    <Relationship TargetMode="External" Target="https://www.legis.iowa.gov/docs/iac/rule/441.75.83.pdf" Type="http://schemas.openxmlformats.org/officeDocument/2006/relationships/hyperlink" Id="rId356"/>
    <Relationship TargetMode="External" Target="https://www.legis.iowa.gov/docs/iac/rule/441.75.23.pdf" Type="http://schemas.openxmlformats.org/officeDocument/2006/relationships/hyperlink" Id="rId357"/>
    <Relationship TargetMode="External" Target="https://www.legis.iowa.gov/docs/iac/rule/441.75.24.pdf" Type="http://schemas.openxmlformats.org/officeDocument/2006/relationships/hyperlink" Id="rId358"/>
    <Relationship TargetMode="External" Target="https://www.legis.iowa.gov/docs/ico/chapter/633E.5.pdf" Type="http://schemas.openxmlformats.org/officeDocument/2006/relationships/hyperlink" Id="rId359"/>
    <Relationship TargetMode="External" Target="https://www.legis.iowa.gov/docs/ico/chapter/249A.3.pdf" Type="http://schemas.openxmlformats.org/officeDocument/2006/relationships/hyperlink" Id="rId360"/>
    <Relationship TargetMode="External" Target="https://www.legis.iowa.gov/docs/iac/rule/441.75.23.pdf" Type="http://schemas.openxmlformats.org/officeDocument/2006/relationships/hyperlink" Id="rId361"/>
    <Relationship TargetMode="External" Target="https://www.legis.iowa.gov/docs/iac/rule/441.75.23.pdf" Type="http://schemas.openxmlformats.org/officeDocument/2006/relationships/hyperlink" Id="rId362"/>
    <Relationship TargetMode="External" Target="https://www.legis.iowa.gov/docs/iac/rule/441.75.23.pdf" Type="http://schemas.openxmlformats.org/officeDocument/2006/relationships/hyperlink" Id="rId363"/>
    <Relationship TargetMode="External" Target="https://www.legis.iowa.gov/docs/iac/rule/441.75.23.pdf" Type="http://schemas.openxmlformats.org/officeDocument/2006/relationships/hyperlink" Id="rId364"/>
    <Relationship TargetMode="External" Target="https://www.legis.iowa.gov/docs/iac/rule/441.75.23.pdf" Type="http://schemas.openxmlformats.org/officeDocument/2006/relationships/hyperlink" Id="rId365"/>
    <Relationship TargetMode="External" Target="https://www.legis.iowa.gov/docs/iac/rule/441.75.23.pdf" Type="http://schemas.openxmlformats.org/officeDocument/2006/relationships/hyperlink" Id="rId366"/>
    <Relationship TargetMode="External" Target="https://www.legis.iowa.gov/docs/iac/rule/441.75.24.pdf" Type="http://schemas.openxmlformats.org/officeDocument/2006/relationships/hyperlink" Id="rId367"/>
    <Relationship TargetMode="External" Target="https://www.legis.iowa.gov/docs/iac/rule/441.75.24.pdf" Type="http://schemas.openxmlformats.org/officeDocument/2006/relationships/hyperlink" Id="rId368"/>
    <Relationship TargetMode="External" Target="https://www.legis.iowa.gov/docs/iac/rule/441.75.23.pdf" Type="http://schemas.openxmlformats.org/officeDocument/2006/relationships/hyperlink" Id="rId369"/>
    <Relationship TargetMode="External" Target="https://www.legis.iowa.gov/docs/iac/chapter/441.89.pdf" Type="http://schemas.openxmlformats.org/officeDocument/2006/relationships/hyperlink" Id="rId370"/>
    <Relationship TargetMode="External" Target="https://www.legis.iowa.gov/docs/iac/rule/441.75.23.pdf" Type="http://schemas.openxmlformats.org/officeDocument/2006/relationships/hyperlink" Id="rId371"/>
    <Relationship TargetMode="External" Target="https://www.legis.iowa.gov/docs/iac/chapter/441.89.pdf" Type="http://schemas.openxmlformats.org/officeDocument/2006/relationships/hyperlink" Id="rId372"/>
    <Relationship TargetMode="External" Target="https://www.legis.iowa.gov/docs/iac/rule/441.75.23.pdf" Type="http://schemas.openxmlformats.org/officeDocument/2006/relationships/hyperlink" Id="rId373"/>
    <Relationship TargetMode="External" Target="https://www.legis.iowa.gov/docs/iac/chapter/441.89.pdf" Type="http://schemas.openxmlformats.org/officeDocument/2006/relationships/hyperlink" Id="rId374"/>
    <Relationship TargetMode="External" Target="https://www.legis.iowa.gov/docs/ico/chapter/633C.pdf" Type="http://schemas.openxmlformats.org/officeDocument/2006/relationships/hyperlink" Id="rId375"/>
    <Relationship TargetMode="External" Target="https://www.legis.iowa.gov/docs/iac/rule/441.75.24.pdf" Type="http://schemas.openxmlformats.org/officeDocument/2006/relationships/hyperlink" Id="rId376"/>
    <Relationship TargetMode="External" Target="https://www.legis.iowa.gov/docs/iac/rule/441.75.24.pdf" Type="http://schemas.openxmlformats.org/officeDocument/2006/relationships/hyperlink" Id="rId377"/>
    <Relationship TargetMode="External" Target="https://www.legis.iowa.gov/docs/iac/rule/441.75.27.pdf" Type="http://schemas.openxmlformats.org/officeDocument/2006/relationships/hyperlink" Id="rId378"/>
    <Relationship TargetMode="External" Target="https://www.legis.iowa.gov/docs/iac/rule/441.76.15.pdf" Type="http://schemas.openxmlformats.org/officeDocument/2006/relationships/hyperlink" Id="rId379"/>
    <Relationship TargetMode="External" Target="https://www.legis.iowa.gov/docs/iac/chapter/441.2506.pdf" Type="http://schemas.openxmlformats.org/officeDocument/2006/relationships/hyperlink" Id="rId380"/>
    <Relationship TargetMode="External" Target="https://www.legis.iowa.gov/docs/ico/chapter/249A.53.pdf" Type="http://schemas.openxmlformats.org/officeDocument/2006/relationships/hyperlink" Id="rId381"/>
    <Relationship TargetMode="External" Target="https://www.legis.iowa.gov/docs/ico/chapter/633.425.pdf" Type="http://schemas.openxmlformats.org/officeDocument/2006/relationships/hyperlink" Id="rId382"/>
    <Relationship TargetMode="External" Target="https://www.legis.iowa.gov/docs/iac/rule/441.75.28.pdf" Type="http://schemas.openxmlformats.org/officeDocument/2006/relationships/hyperlink" Id="rId383"/>
    <Relationship TargetMode="External" Target="https://www.legis.iowa.gov/docs/ico/chapter/514B.1.pdf" Type="http://schemas.openxmlformats.org/officeDocument/2006/relationships/hyperlink" Id="rId384"/>
    <Relationship TargetMode="External" Target="https://www.legis.iowa.gov/docs/iac/chapter/441.2506.pdf" Type="http://schemas.openxmlformats.org/officeDocument/2006/relationships/hyperlink" Id="rId385"/>
    <Relationship TargetMode="External" Target="https://www.legis.iowa.gov/docs/ico/chapter/249A.53.pdf" Type="http://schemas.openxmlformats.org/officeDocument/2006/relationships/hyperlink" Id="rId386"/>
    <Relationship TargetMode="External" Target="https://www.legis.iowa.gov/docs/iac/chapter/441.2506.pdf" Type="http://schemas.openxmlformats.org/officeDocument/2006/relationships/hyperlink" Id="rId387"/>
    <Relationship TargetMode="External" Target="https://www.legis.iowa.gov/docs/iac/rule/441.75.28.pdf" Type="http://schemas.openxmlformats.org/officeDocument/2006/relationships/hyperlink" Id="rId388"/>
    <Relationship TargetMode="External" Target="https://www.legis.iowa.gov/docs/iac/rule/441.75.82.pdf" Type="http://schemas.openxmlformats.org/officeDocument/2006/relationships/hyperlink" Id="rId389"/>
    <Relationship TargetMode="External" Target="https://www.legis.iowa.gov/docs/ico/chapter/249A.53.pdf" Type="http://schemas.openxmlformats.org/officeDocument/2006/relationships/hyperlink" Id="rId390"/>
    <Relationship TargetMode="External" Target="https://www.legis.iowa.gov/docs/ico/chapter/633C.pdf" Type="http://schemas.openxmlformats.org/officeDocument/2006/relationships/hyperlink" Id="rId391"/>
    <Relationship TargetMode="External" Target="https://www.legis.iowa.gov/docs/iac/chapter/481.72.pdf" Type="http://schemas.openxmlformats.org/officeDocument/2006/relationships/hyperlink" Id="rId392"/>
    <Relationship TargetMode="External" Target="https://www.legis.iowa.gov/docs/iac/rule/441.75.3.pdf" Type="http://schemas.openxmlformats.org/officeDocument/2006/relationships/hyperlink" Id="rId393"/>
    <Relationship TargetMode="External" Target="https://www.legis.iowa.gov/docs/iac/rule/441.75.3.pdf" Type="http://schemas.openxmlformats.org/officeDocument/2006/relationships/hyperlink" Id="rId394"/>
    <Relationship TargetMode="External" Target="https://www.legis.iowa.gov/docs/iac/rule/441.75.3.pdf" Type="http://schemas.openxmlformats.org/officeDocument/2006/relationships/hyperlink" Id="rId395"/>
    <Relationship TargetMode="External" Target="https://www.legis.iowa.gov/docs/iac/rule/441.75.52.pdf" Type="http://schemas.openxmlformats.org/officeDocument/2006/relationships/hyperlink" Id="rId396"/>
    <Relationship TargetMode="External" Target="https://www.legis.iowa.gov/docs/iac/rule/441.75.1.pdf" Type="http://schemas.openxmlformats.org/officeDocument/2006/relationships/hyperlink" Id="rId397"/>
    <Relationship TargetMode="External" Target="https://www.legis.iowa.gov/docs/iac/rule/441.75.51.pdf" Type="http://schemas.openxmlformats.org/officeDocument/2006/relationships/hyperlink" Id="rId398"/>
    <Relationship TargetMode="External" Target="https://www.legis.iowa.gov/docs/iac/rule/441.75.51.pdf" Type="http://schemas.openxmlformats.org/officeDocument/2006/relationships/hyperlink" Id="rId399"/>
    <Relationship TargetMode="External" Target="https://www.legis.iowa.gov/docs/iac/rule/441.75.72.pdf" Type="http://schemas.openxmlformats.org/officeDocument/2006/relationships/hyperlink" Id="rId400"/>
    <Relationship TargetMode="External" Target="https://www.legis.iowa.gov/docs/iac/rule/441.75.3.pdf" Type="http://schemas.openxmlformats.org/officeDocument/2006/relationships/hyperlink" Id="rId401"/>
    <Relationship TargetMode="External" Target="https://www.legis.iowa.gov/docs/iac/rule/441.75.3.pdf" Type="http://schemas.openxmlformats.org/officeDocument/2006/relationships/hyperlink" Id="rId402"/>
    <Relationship TargetMode="External" Target="https://www.legis.iowa.gov/docs/iac/rule/441.75.3.pdf" Type="http://schemas.openxmlformats.org/officeDocument/2006/relationships/hyperlink" Id="rId403"/>
    <Relationship TargetMode="External" Target="https://www.legis.iowa.gov/docs/iac/rule/441.75.1.pdf" Type="http://schemas.openxmlformats.org/officeDocument/2006/relationships/hyperlink" Id="rId404"/>
    <Relationship TargetMode="External" Target="https://www.legis.iowa.gov/docs/iac/rule/441.75.50.pdf" Type="http://schemas.openxmlformats.org/officeDocument/2006/relationships/hyperlink" Id="rId405"/>
    <Relationship TargetMode="External" Target="https://www.legis.iowa.gov/docs/iac/rule/441.75.3.pdf" Type="http://schemas.openxmlformats.org/officeDocument/2006/relationships/hyperlink" Id="rId406"/>
    <Relationship TargetMode="External" Target="https://www.legis.iowa.gov/docs/iac/rule/441.75.53.pdf" Type="http://schemas.openxmlformats.org/officeDocument/2006/relationships/hyperlink" Id="rId407"/>
    <Relationship TargetMode="External" Target="https://www.legis.iowa.gov/docs/iac/rule/441.75.50.pdf" Type="http://schemas.openxmlformats.org/officeDocument/2006/relationships/hyperlink" Id="rId408"/>
    <Relationship TargetMode="External" Target="https://www.legis.iowa.gov/docs/iac/rule/441.75.53.pdf" Type="http://schemas.openxmlformats.org/officeDocument/2006/relationships/hyperlink" Id="rId409"/>
    <Relationship TargetMode="External" Target="https://www.legis.iowa.gov/docs/iac/rule/441.75.71.pdf" Type="http://schemas.openxmlformats.org/officeDocument/2006/relationships/hyperlink" Id="rId410"/>
    <Relationship TargetMode="External" Target="https://www.legis.iowa.gov/docs/iac/rule/441.75.1.pdf" Type="http://schemas.openxmlformats.org/officeDocument/2006/relationships/hyperlink" Id="rId411"/>
    <Relationship TargetMode="External" Target="https://www.legis.iowa.gov/docs/iac/rule/441.75.3.pdf" Type="http://schemas.openxmlformats.org/officeDocument/2006/relationships/hyperlink" Id="rId412"/>
    <Relationship TargetMode="External" Target="https://www.legis.iowa.gov/docs/iac/rule/441.75.3.pdf" Type="http://schemas.openxmlformats.org/officeDocument/2006/relationships/hyperlink" Id="rId413"/>
    <Relationship TargetMode="External" Target="https://www.legis.iowa.gov/docs/iac/chapter/441.86.pdf" Type="http://schemas.openxmlformats.org/officeDocument/2006/relationships/hyperlink" Id="rId414"/>
    <Relationship TargetMode="External" Target="https://www.legis.iowa.gov/docs/iac/chapter/441.74.pdf" Type="http://schemas.openxmlformats.org/officeDocument/2006/relationships/hyperlink" Id="rId415"/>
    <Relationship TargetMode="External" Target="https://www.legis.iowa.gov/docs/iac/rule/441.75.5.pdf" Type="http://schemas.openxmlformats.org/officeDocument/2006/relationships/hyperlink" Id="rId416"/>
    <Relationship TargetMode="External" Target="https://www.legis.iowa.gov/docs/iac/rule/441.75.72.pdf" Type="http://schemas.openxmlformats.org/officeDocument/2006/relationships/hyperlink" Id="rId417"/>
    <Relationship TargetMode="External" Target="https://www.legis.iowa.gov/docs/iac/rule/441.75.50.pdf" Type="http://schemas.openxmlformats.org/officeDocument/2006/relationships/hyperlink" Id="rId418"/>
    <Relationship TargetMode="External" Target="https://www.legis.iowa.gov/docs/iac/rule/441.75.72.pdf" Type="http://schemas.openxmlformats.org/officeDocument/2006/relationships/hyperlink" Id="rId419"/>
    <Relationship TargetMode="External" Target="https://www.legis.iowa.gov/docs/iac/rule/441.75.72.pdf" Type="http://schemas.openxmlformats.org/officeDocument/2006/relationships/hyperlink" Id="rId420"/>
    <Relationship TargetMode="External" Target="https://www.legis.iowa.gov/docs/iac/rule/441.75.50.pdf" Type="http://schemas.openxmlformats.org/officeDocument/2006/relationships/hyperlink" Id="rId421"/>
    <Relationship TargetMode="External" Target="https://www.legis.iowa.gov/docs/iac/rule/441.75.72.pdf" Type="http://schemas.openxmlformats.org/officeDocument/2006/relationships/hyperlink" Id="rId422"/>
    <Relationship TargetMode="External" Target="https://www.legis.iowa.gov/docs/iac/rule/441.75.71.pdf" Type="http://schemas.openxmlformats.org/officeDocument/2006/relationships/hyperlink" Id="rId423"/>
    <Relationship TargetMode="External" Target="https://www.legis.iowa.gov/docs/iac/rule/441.75.74.pdf" Type="http://schemas.openxmlformats.org/officeDocument/2006/relationships/hyperlink" Id="rId424"/>
    <Relationship TargetMode="External" Target="https://www.legis.iowa.gov/docs/iac/rule/441.75.73.pdf" Type="http://schemas.openxmlformats.org/officeDocument/2006/relationships/hyperlink" Id="rId425"/>
    <Relationship TargetMode="External" Target="https://www.legis.iowa.gov/docs/iac/rule/441.75.73.pdf" Type="http://schemas.openxmlformats.org/officeDocument/2006/relationships/hyperlink" Id="rId426"/>
    <Relationship TargetMode="External" Target="https://www.legis.iowa.gov/docs/iac/rule/441.75.73.pdf" Type="http://schemas.openxmlformats.org/officeDocument/2006/relationships/hyperlink" Id="rId427"/>
    <Relationship TargetMode="External" Target="https://www.legis.iowa.gov/docs/iac/rule/441.75.73.pdf" Type="http://schemas.openxmlformats.org/officeDocument/2006/relationships/hyperlink" Id="rId428"/>
    <Relationship TargetMode="External" Target="https://www.legis.iowa.gov/docs/iac/rule/441.75.73.pdf" Type="http://schemas.openxmlformats.org/officeDocument/2006/relationships/hyperlink" Id="rId429"/>
    <Relationship TargetMode="External" Target="https://www.legis.iowa.gov/docs/iac/rule/441.75.73.pdf" Type="http://schemas.openxmlformats.org/officeDocument/2006/relationships/hyperlink" Id="rId430"/>
    <Relationship TargetMode="External" Target="https://www.legis.iowa.gov/docs/iac/rule/441.75.73.pdf" Type="http://schemas.openxmlformats.org/officeDocument/2006/relationships/hyperlink" Id="rId431"/>
    <Relationship TargetMode="External" Target="https://www.legis.iowa.gov/docs/iac/rule/441.75.73.pdf" Type="http://schemas.openxmlformats.org/officeDocument/2006/relationships/hyperlink" Id="rId432"/>
    <Relationship TargetMode="External" Target="https://www.legis.iowa.gov/docs/iac/rule/441.75.73.pdf" Type="http://schemas.openxmlformats.org/officeDocument/2006/relationships/hyperlink" Id="rId433"/>
    <Relationship TargetMode="External" Target="https://www.legis.iowa.gov/docs/iac/rule/441.75.1.pdf" Type="http://schemas.openxmlformats.org/officeDocument/2006/relationships/hyperlink" Id="rId434"/>
    <Relationship TargetMode="External" Target="https://www.legis.iowa.gov/docs/iac/rule/441.76.8.pdf" Type="http://schemas.openxmlformats.org/officeDocument/2006/relationships/hyperlink" Id="rId435"/>
    <Relationship TargetMode="External" Target="https://www.legis.iowa.gov/docs/iac/rule/441.75.73.pdf" Type="http://schemas.openxmlformats.org/officeDocument/2006/relationships/hyperlink" Id="rId436"/>
    <Relationship TargetMode="External" Target="https://www.legis.iowa.gov/docs/iac/rule/441.75.73.pdf" Type="http://schemas.openxmlformats.org/officeDocument/2006/relationships/hyperlink" Id="rId437"/>
    <Relationship TargetMode="External" Target="https://www.legis.iowa.gov/docs/iac/rule/441.75.73.pdf" Type="http://schemas.openxmlformats.org/officeDocument/2006/relationships/hyperlink" Id="rId438"/>
    <Relationship TargetMode="External" Target="https://www.legis.iowa.gov/docs/iac/rule/441.75.73.pdf" Type="http://schemas.openxmlformats.org/officeDocument/2006/relationships/hyperlink" Id="rId439"/>
    <Relationship TargetMode="External" Target="https://www.legis.iowa.gov/docs/iac/rule/441.76.14.pdf" Type="http://schemas.openxmlformats.org/officeDocument/2006/relationships/hyperlink" Id="rId440"/>
    <Relationship TargetMode="External" Target="https://www.legis.iowa.gov/docs/iac/rule/441.76.14.pdf" Type="http://schemas.openxmlformats.org/officeDocument/2006/relationships/hyperlink" Id="rId441"/>
    <Relationship TargetMode="External" Target="https://www.legis.iowa.gov/docs/iac/rule/441.76.16.pdf" Type="http://schemas.openxmlformats.org/officeDocument/2006/relationships/hyperlink" Id="rId442"/>
    <Relationship TargetMode="External" Target="https://www.legis.iowa.gov/docs/iac/rule/441.75.73.pdf" Type="http://schemas.openxmlformats.org/officeDocument/2006/relationships/hyperlink" Id="rId443"/>
    <Relationship TargetMode="External" Target="https://www.legis.iowa.gov/docs/iac/rule/441.75.73.pdf" Type="http://schemas.openxmlformats.org/officeDocument/2006/relationships/hyperlink" Id="rId444"/>
    <Relationship TargetMode="External" Target="https://www.legis.iowa.gov/docs/iac/rule/441.75.73.pdf" Type="http://schemas.openxmlformats.org/officeDocument/2006/relationships/hyperlink" Id="rId445"/>
    <Relationship TargetMode="External" Target="https://www.legis.iowa.gov/docs/iac/rule/441.75.73.pdf" Type="http://schemas.openxmlformats.org/officeDocument/2006/relationships/hyperlink" Id="rId446"/>
    <Relationship TargetMode="External" Target="https://www.legis.iowa.gov/docs/iac/rule/441.75.73.pdf" Type="http://schemas.openxmlformats.org/officeDocument/2006/relationships/hyperlink" Id="rId447"/>
    <Relationship TargetMode="External" Target="https://www.legis.iowa.gov/docs/iac/rule/441.75.3.pdf" Type="http://schemas.openxmlformats.org/officeDocument/2006/relationships/hyperlink" Id="rId448"/>
    <Relationship TargetMode="External" Target="https://www.legis.iowa.gov/docs/iac/rule/441.75.3.pdf" Type="http://schemas.openxmlformats.org/officeDocument/2006/relationships/hyperlink" Id="rId449"/>
    <Relationship TargetMode="External" Target="https://www.legis.iowa.gov/docs/iac/rule/441.75.3.pdf" Type="http://schemas.openxmlformats.org/officeDocument/2006/relationships/hyperlink" Id="rId450"/>
    <Relationship TargetMode="External" Target="https://www.legis.iowa.gov/docs/iac/chapter/441.75.pdf" Type="http://schemas.openxmlformats.org/officeDocument/2006/relationships/hyperlink" Id="rId451"/>
    <Relationship TargetMode="External" Target="https://www.legis.iowa.gov/docs/iac/chapter/441.76.pdf" Type="http://schemas.openxmlformats.org/officeDocument/2006/relationships/hyperlink" Id="rId452"/>
    <Relationship TargetMode="External" Target="https://www.legis.iowa.gov/docs/iac/rule/441.75.24.pdf" Type="http://schemas.openxmlformats.org/officeDocument/2006/relationships/hyperlink" Id="rId453"/>
    <Relationship TargetMode="External" Target="https://www.legis.iowa.gov/docs/iac/rule/441.75.6.pdf" Type="http://schemas.openxmlformats.org/officeDocument/2006/relationships/hyperlink" Id="rId454"/>
    <Relationship TargetMode="External" Target="https://www.legis.iowa.gov/docs/iac/rule/441.75.6.pdf" Type="http://schemas.openxmlformats.org/officeDocument/2006/relationships/hyperlink" Id="rId455"/>
    <Relationship TargetMode="External" Target="https://www.legis.iowa.gov/docs/iac/rule/441.75.6.pdf" Type="http://schemas.openxmlformats.org/officeDocument/2006/relationships/hyperlink" Id="rId456"/>
    <Relationship TargetMode="External" Target="https://www.legis.iowa.gov/docs/iac/rule/441.75.6.pdf" Type="http://schemas.openxmlformats.org/officeDocument/2006/relationships/hyperlink" Id="rId457"/>
    <Relationship TargetMode="External" Target="https://www.legis.iowa.gov/docs/iac/chapter/441.16.pdf" Type="http://schemas.openxmlformats.org/officeDocument/2006/relationships/hyperlink" Id="rId458"/>
    <Relationship TargetMode="External" Target="https://www.legis.iowa.gov/docs/iac/rule/441.75.3.pdf" Type="http://schemas.openxmlformats.org/officeDocument/2006/relationships/hyperlink" Id="rId459"/>
    <Relationship TargetMode="External" Target="https://www.legis.iowa.gov/docs/iac/rule/441.75.8.pdf" Type="http://schemas.openxmlformats.org/officeDocument/2006/relationships/hyperlink" Id="rId460"/>
    <Relationship TargetMode="External" Target="https://www.legis.iowa.gov/docs/iac/rule/441.75.6.pdf" Type="http://schemas.openxmlformats.org/officeDocument/2006/relationships/hyperlink" Id="rId461"/>
    <Relationship TargetMode="External" Target="https://www.legis.iowa.gov/docs/iac/rule/441.75.6.pdf" Type="http://schemas.openxmlformats.org/officeDocument/2006/relationships/hyperlink" Id="rId462"/>
    <Relationship TargetMode="External" Target="https://www.legis.iowa.gov/docs/iac/rule/441.75.6.pdf" Type="http://schemas.openxmlformats.org/officeDocument/2006/relationships/hyperlink" Id="rId463"/>
    <Relationship TargetMode="External" Target="https://www.legis.iowa.gov/docs/iac/rule/441.41.22.pdf" Type="http://schemas.openxmlformats.org/officeDocument/2006/relationships/hyperlink" Id="rId464"/>
    <Relationship TargetMode="External" Target="https://www.legis.iowa.gov/docs/iac/chapter/441.2506.pdf" Type="http://schemas.openxmlformats.org/officeDocument/2006/relationships/hyperlink" Id="rId465"/>
    <Relationship TargetMode="External" Target="https://www.legis.iowa.gov/docs/iac/rule/441.75.83.pdf" Type="http://schemas.openxmlformats.org/officeDocument/2006/relationships/hyperlink" Id="rId466"/>
    <Relationship TargetMode="External" Target="https://www.legis.iowa.gov/docs/iac/rule/441.75.82.pdf" Type="http://schemas.openxmlformats.org/officeDocument/2006/relationships/hyperlink" Id="rId467"/>
    <Relationship TargetMode="External" Target="https://www.legis.iowa.gov/docs/iac/rule/441.75.82.pdf" Type="http://schemas.openxmlformats.org/officeDocument/2006/relationships/hyperlink" Id="rId468"/>
    <Relationship TargetMode="External" Target="https://www.legis.iowa.gov/docs/iac/chapter/191.39.pdf" Type="http://schemas.openxmlformats.org/officeDocument/2006/relationships/hyperlink" Id="rId469"/>
    <Relationship TargetMode="External" Target="https://www.legis.iowa.gov/docs/iac/chapter/191.72.pdf" Type="http://schemas.openxmlformats.org/officeDocument/2006/relationships/hyperlink" Id="rId470"/>
    <Relationship TargetMode="External" Target="https://www.legis.iowa.gov/docs/iac/rule/441.75.3.pdf" Type="http://schemas.openxmlformats.org/officeDocument/2006/relationships/hyperlink" Id="rId471"/>
    <Relationship TargetMode="External" Target="https://www.legis.iowa.gov/docs/iac/rule/441.75.3.pdf" Type="http://schemas.openxmlformats.org/officeDocument/2006/relationships/hyperlink" Id="rId472"/>
    <Relationship TargetMode="External" Target="https://www.legis.iowa.gov/docs/iac/rule/441.75.6.pdf" Type="http://schemas.openxmlformats.org/officeDocument/2006/relationships/hyperlink" Id="rId473"/>
    <Relationship TargetMode="External" Target="https://www.legis.iowa.gov/docs/iac/rule/441.75.6.pdf" Type="http://schemas.openxmlformats.org/officeDocument/2006/relationships/hyperlink" Id="rId474"/>
    <Relationship TargetMode="External" Target="https://www.legis.iowa.gov/docs/ico/chapter/249A.3.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co/chapter/249A.35.pdf" Type="http://schemas.openxmlformats.org/officeDocument/2006/relationships/hyperlink" Id="rId477"/>
    <Relationship TargetMode="External" Target="https://www.legis.iowa.gov/docs/ico/chapter/514H.pdf" Type="http://schemas.openxmlformats.org/officeDocument/2006/relationships/hyperlink" Id="rId478"/>
    <Relationship TargetMode="External" Target="https://www.legis.iowa.gov/docs/ico/chapter/249A.30A.pdf" Type="http://schemas.openxmlformats.org/officeDocument/2006/relationships/hyperlink" Id="rId479"/>
    <Relationship TargetMode="External" Target="https://www.legis.iowa.gov/docs/iac/rule/441.75.23.pdf" Type="http://schemas.openxmlformats.org/officeDocument/2006/relationships/hyperlink" Id="rId480"/>
    <Relationship TargetMode="External" Target="https://www.legis.iowa.gov/docs/iac/rule/441.75.85.pdf" Type="http://schemas.openxmlformats.org/officeDocument/2006/relationships/hyperlink" Id="rId481"/>
    <Relationship TargetMode="External" Target="https://www.legis.iowa.gov/docs/iac/rule/441.75.85.pdf" Type="http://schemas.openxmlformats.org/officeDocument/2006/relationships/hyperlink" Id="rId482"/>
    <Relationship TargetMode="External" Target="https://www.legis.iowa.gov/docs/ico/chapter/249A.3.pdf" Type="http://schemas.openxmlformats.org/officeDocument/2006/relationships/hyperlink" Id="rId483"/>
    <Relationship TargetMode="External" Target="https://www.legis.iowa.gov/docs/ico/chapter/249A.4.pdf" Type="http://schemas.openxmlformats.org/officeDocument/2006/relationships/hyperlink" Id="rId484"/>
    <Relationship Target="footer.xml" Type="http://schemas.openxmlformats.org/officeDocument/2006/relationships/footer" Id="rId4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