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66</w:t>
      </w:r>
    </w:p>
    <w:p>
      <w:pPr>
        <w:spacing w:before="0" w:after="0"/>
        <w:ind w:left="120"/>
        <w:jc w:val="center"/>
      </w:pPr>
      <w:r>
        <w:rPr>
          <w:rFonts w:ascii="Times New Roman" w:hAnsi="Times New Roman"/>
          <w:b w:val="false"/>
          <w:i w:val="false"/>
          <w:color w:val="000000"/>
          <w:sz w:val="21"/>
        </w:rPr>
        <w:t>EMERGENCY FOOD ASSISTANCE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8/1/30</w:t>
      </w:r>
    </w:p>
    <w:p>
      <w:pPr>
        <w:spacing w:before="0" w:after="0"/>
        <w:ind w:left="120"/>
        <w:jc w:val="both"/>
      </w:pPr>
      <w:r>
        <w:rPr>
          <w:rFonts w:ascii="Times New Roman" w:hAnsi="Times New Roman"/>
          <w:b/>
          <w:i w:val="false"/>
          <w:color w:val="000000"/>
          <w:sz w:val="22"/>
        </w:rPr>
        <w:t>441—66.1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“Household” </w:t>
      </w:r>
      <w:r>
        <w:rPr>
          <w:rFonts w:ascii="Times New Roman" w:hAnsi="Times New Roman"/>
          <w:b w:val="false"/>
          <w:i w:val="false"/>
          <w:color w:val="000000"/>
          <w:sz w:val="22"/>
        </w:rPr>
        <w:t>means a single individual living alone or a group of related or nonrelated individuals who live together, who are not boarders or residents of an institution, and who purchase and prepare food for home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“TEFAP” </w:t>
      </w:r>
      <w:r>
        <w:rPr>
          <w:rFonts w:ascii="Times New Roman" w:hAnsi="Times New Roman"/>
          <w:b w:val="false"/>
          <w:i w:val="false"/>
          <w:color w:val="000000"/>
          <w:sz w:val="22"/>
        </w:rPr>
        <w:t>means The Emergency Food Assistance Program as authorized by the Emergency Food Assistance Act of 1983 as amended through PL 107-249, enacted October 23, 2002.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441—66.2</w:t>
      </w:r>
      <w:r>
        <w:rPr>
          <w:rFonts w:ascii="Times New Roman" w:hAnsi="Times New Roman"/>
          <w:b/>
          <w:i w:val="false"/>
          <w:color w:val="000000"/>
          <w:sz w:val="22"/>
        </w:rPr>
        <w:t xml:space="preserve">(234) </w:t>
      </w:r>
      <w:r>
        <w:rPr>
          <w:rFonts w:ascii="Times New Roman" w:hAnsi="Times New Roman"/>
          <w:b/>
          <w:i w:val="false"/>
          <w:color w:val="000000"/>
          <w:sz w:val="22"/>
        </w:rPr>
        <w:t xml:space="preserve">Household eligibility. </w:t>
      </w:r>
      <w:r>
        <w:rPr>
          <w:rFonts w:ascii="Times New Roman" w:hAnsi="Times New Roman"/>
          <w:b w:val="false"/>
          <w:i w:val="false"/>
          <w:color w:val="000000"/>
          <w:sz w:val="22"/>
        </w:rPr>
        <w:t>Household eligibility is determined by residence, household size, and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66.2(1)</w:t>
      </w:r>
      <w:r>
        <w:rPr>
          <w:rFonts w:ascii="Times New Roman" w:hAnsi="Times New Roman"/>
          <w:b w:val="false"/>
          <w:i w:val="false"/>
          <w:color w:val="000000"/>
          <w:sz w:val="22"/>
        </w:rPr>
        <w:t> </w:t>
      </w:r>
      <w:r>
        <w:rPr>
          <w:rFonts w:ascii="Times New Roman" w:hAnsi="Times New Roman"/>
          <w:b w:val="false"/>
          <w:i/>
          <w:color w:val="000000"/>
          <w:sz w:val="22"/>
        </w:rPr>
        <w:t xml:space="preserve">Residence. </w:t>
      </w:r>
      <w:r>
        <w:rPr>
          <w:rFonts w:ascii="Times New Roman" w:hAnsi="Times New Roman"/>
          <w:b w:val="false"/>
          <w:i w:val="false"/>
          <w:color w:val="000000"/>
          <w:sz w:val="22"/>
        </w:rPr>
        <w:t>Household members must be residing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w:t>
      </w:r>
      <w:r>
        <w:rPr>
          <w:rFonts w:ascii="Times New Roman" w:hAnsi="Times New Roman"/>
          <w:b w:val="false"/>
          <w:i w:val="false"/>
          <w:color w:val="000000"/>
          <w:sz w:val="22"/>
        </w:rPr>
        <w:t> </w:t>
      </w:r>
      <w:r>
        <w:rPr>
          <w:rFonts w:ascii="Times New Roman" w:hAnsi="Times New Roman"/>
          <w:b w:val="false"/>
          <w:i/>
          <w:color w:val="000000"/>
          <w:sz w:val="22"/>
        </w:rPr>
        <w:t xml:space="preserve">Household size. </w:t>
      </w:r>
      <w:r>
        <w:rPr>
          <w:rFonts w:ascii="Times New Roman" w:hAnsi="Times New Roman"/>
          <w:b w:val="false"/>
          <w:i w:val="false"/>
          <w:color w:val="000000"/>
          <w:sz w:val="22"/>
        </w:rPr>
        <w:t xml:space="preserve">Household size is determined by the number of people living in a dwelling, excluding boarders, as household is defined in rule </w:t>
      </w:r>
      <w:hyperlink r:id="rId5">
        <w:r>
          <w:rPr>
            <w:rStyle w:val="Hyperlink"/>
            <w:rFonts w:ascii="Times New Roman" w:hAnsi="Times New Roman"/>
            <w:b w:val="false"/>
            <w:i w:val="false"/>
            <w:color w:val="000000"/>
            <w:sz w:val="22"/>
          </w:rPr>
          <w:t>441—66.1</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w:t>
      </w:r>
      <w:r>
        <w:rPr>
          <w:rFonts w:ascii="Times New Roman" w:hAnsi="Times New Roman"/>
          <w:b w:val="false"/>
          <w:i w:val="false"/>
          <w:color w:val="000000"/>
          <w:sz w:val="22"/>
        </w:rPr>
        <w:t> </w:t>
      </w:r>
      <w:r>
        <w:rPr>
          <w:rFonts w:ascii="Times New Roman" w:hAnsi="Times New Roman"/>
          <w:b w:val="false"/>
          <w:i/>
          <w:color w:val="000000"/>
          <w:sz w:val="22"/>
        </w:rPr>
        <w:t xml:space="preserve">Income eligibility. </w:t>
      </w:r>
      <w:r>
        <w:rPr>
          <w:rFonts w:ascii="Times New Roman" w:hAnsi="Times New Roman"/>
          <w:b w:val="false"/>
          <w:i w:val="false"/>
          <w:color w:val="000000"/>
          <w:sz w:val="22"/>
        </w:rPr>
        <w:t>All earned and unearned income of the household must be considered in determining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Income defined. </w:t>
      </w:r>
      <w:r>
        <w:rPr>
          <w:rFonts w:ascii="Times New Roman" w:hAnsi="Times New Roman"/>
          <w:b w:val="false"/>
          <w:i w:val="false"/>
          <w:color w:val="000000"/>
          <w:sz w:val="22"/>
        </w:rPr>
        <w:t>Income means all income received by an individual from sources identified by the U.S. Census Bureau in computing median income and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Money wages or salary;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Net income from nonfarm self-employment;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Net income from farm self-employment;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Dividends;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Income from estates or trusts;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Net rental income and royalties;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Public assistance or welfare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Pensions and annuities;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Veterans’ pensions;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Social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Railroad retirement;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Supplemental security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State or federal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Veterans’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Black lung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All disability pensions;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State supplementary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Unemployment compensation benefits;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Income from minors under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income. </w:t>
      </w:r>
      <w:r>
        <w:rPr>
          <w:rFonts w:ascii="Times New Roman" w:hAnsi="Times New Roman"/>
          <w:b w:val="false"/>
          <w:i w:val="false"/>
          <w:color w:val="000000"/>
          <w:sz w:val="22"/>
        </w:rPr>
        <w:t>Earned or unearned income is the gross annual, monthly, or weekly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Biweekly income is to be multiplied by 2.15 to determine monthly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Adjusted gross self-employment income will be averaged over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received from interest and dividends will be averaged over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amount of income that stops or starts during the month will be estimated based on the best information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Income exclusions. </w:t>
      </w:r>
      <w:r>
        <w:rPr>
          <w:rFonts w:ascii="Times New Roman" w:hAnsi="Times New Roman"/>
          <w:b w:val="false"/>
          <w:i w:val="false"/>
          <w:color w:val="000000"/>
          <w:sz w:val="22"/>
        </w:rPr>
        <w:t xml:space="preserve">When calculating total household income for this program, all income must be excluded that is specifically excluded for food assistance by federal statute, especially those sources listed in federal regulations at </w:t>
      </w:r>
      <w:r>
        <w:rPr>
          <w:rFonts w:ascii="Times New Roman" w:hAnsi="Times New Roman"/>
          <w:b w:val="false"/>
          <w:i w:val="false"/>
          <w:color w:val="000000"/>
          <w:sz w:val="22"/>
        </w:rPr>
        <w:t>7 CFR 273.9(c)</w:t>
      </w:r>
      <w:r>
        <w:rPr>
          <w:rFonts w:ascii="Times New Roman" w:hAnsi="Times New Roman"/>
          <w:b w:val="false"/>
          <w:i w:val="false"/>
          <w:color w:val="000000"/>
          <w:sz w:val="22"/>
        </w:rPr>
        <w:t>(10) as amended to May 2,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Income guidelines. </w:t>
      </w:r>
      <w:r>
        <w:rPr>
          <w:rFonts w:ascii="Times New Roman" w:hAnsi="Times New Roman"/>
          <w:b w:val="false"/>
          <w:i w:val="false"/>
          <w:color w:val="000000"/>
          <w:sz w:val="22"/>
        </w:rPr>
        <w:t>Households are eligible for TEFAP when the countable household income is at or below 185 percent of the federal poverty guidelines. These federal guidelines are revised annually, effective every July 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234.12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11/16/05, Notice 9/28/05—published 12/7/05, effective 1/11/06]</w:t>
      </w:r>
    </w:p>
    <w:p>
      <w:pPr>
        <w:spacing w:before="0" w:after="0"/>
        <w:ind w:left="120"/>
        <w:jc w:val="center"/>
      </w:pPr>
      <w:r>
        <w:rPr>
          <w:rFonts w:ascii="Times New Roman" w:hAnsi="Times New Roman"/>
          <w:b w:val="false"/>
          <w:i w:val="false"/>
          <w:color w:val="000000"/>
          <w:sz w:val="21"/>
        </w:rPr>
        <w:t>[Filed ARC 6559C</w:t>
      </w:r>
      <w:r>
        <w:rPr>
          <w:rFonts w:ascii="Times New Roman" w:hAnsi="Times New Roman"/>
          <w:b w:val="false"/>
          <w:i w:val="false"/>
          <w:color w:val="000000"/>
          <w:sz w:val="21"/>
        </w:rPr>
        <w:t xml:space="preserve"> (Notice ARC 6410C, IAB 7/13/22)</w:t>
      </w:r>
      <w:r>
        <w:rPr>
          <w:rFonts w:ascii="Times New Roman" w:hAnsi="Times New Roman"/>
          <w:b w:val="false"/>
          <w:i w:val="false"/>
          <w:color w:val="000000"/>
          <w:sz w:val="21"/>
        </w:rPr>
        <w:t>, IAB 10/5/22, effective 12/1/22]</w:t>
      </w:r>
    </w:p>
    <w:p>
      <w:pPr>
        <w:spacing w:before="0" w:after="0"/>
        <w:ind w:left="120"/>
        <w:jc w:val="center"/>
      </w:pPr>
      <w:r>
        <w:rPr>
          <w:rFonts w:ascii="Times New Roman" w:hAnsi="Times New Roman"/>
          <w:b w:val="false"/>
          <w:i w:val="false"/>
          <w:color w:val="000000"/>
          <w:sz w:val="21"/>
        </w:rPr>
        <w:t>[Filed ARC 9311C</w:t>
      </w:r>
      <w:r>
        <w:rPr>
          <w:rFonts w:ascii="Times New Roman" w:hAnsi="Times New Roman"/>
          <w:b w:val="false"/>
          <w:i w:val="false"/>
          <w:color w:val="000000"/>
          <w:sz w:val="21"/>
        </w:rPr>
        <w:t xml:space="preserve"> (Notice ARC 8473C, IAB 12/11/24)</w:t>
      </w:r>
      <w:r>
        <w:rPr>
          <w:rFonts w:ascii="Times New Roman" w:hAnsi="Times New Roman"/>
          <w:b w:val="false"/>
          <w:i w:val="false"/>
          <w:color w:val="000000"/>
          <w:sz w:val="21"/>
        </w:rPr>
        <w:t>, IAB 5/28/25, effective 8/1/25]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66.1.pdf" Type="http://schemas.openxmlformats.org/officeDocument/2006/relationships/hyperlink" Id="rId5"/>
    <Relationship TargetMode="External" Target="https://www.legis.iowa.gov/docs/ico/chapter/234.6.pdf" Type="http://schemas.openxmlformats.org/officeDocument/2006/relationships/hyperlink" Id="rId6"/>
    <Relationship TargetMode="External" Target="https://www.legis.iowa.gov/docs/ico/chapter/234.12.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