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RENT REIMBURSEMENT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441—62.1</w:t>
      </w:r>
      <w:r>
        <w:rPr>
          <w:rFonts w:ascii="Times New Roman" w:hAnsi="Times New Roman"/>
          <w:b/>
          <w:i w:val="false"/>
          <w:color w:val="000000"/>
          <w:sz w:val="22"/>
        </w:rPr>
        <w:t xml:space="preserve">(425) </w:t>
      </w:r>
      <w:r>
        <w:rPr>
          <w:rFonts w:ascii="Times New Roman" w:hAnsi="Times New Roman"/>
          <w:b/>
          <w:i w:val="false"/>
          <w:color w:val="000000"/>
          <w:sz w:val="22"/>
        </w:rPr>
        <w:t xml:space="preserve">Eligible claimants. </w:t>
      </w:r>
      <w:r>
        <w:rPr>
          <w:rFonts w:ascii="Times New Roman" w:hAnsi="Times New Roman"/>
          <w:b w:val="false"/>
          <w:i w:val="false"/>
          <w:color w:val="000000"/>
          <w:sz w:val="22"/>
        </w:rPr>
        <w:t>This rule is effective for rent reimbursement claims received by the department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The rent reimbursement program is available to claimants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at least 23 years of age or a head of household on December 31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Were not or will not be claimed as a dependent on another person’s federal or state income tax return for the base year in the case of a claimant who is not disabled or at least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Did not have household income in excess of the indexed amount determined pursuant to Iowa Code section </w:t>
      </w:r>
      <w:hyperlink r:id="rId5">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 xml:space="preserve"> during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domiciled in Iowa at the time the claim is filed or were at the time of the claimant’s death, and occupied and rented the property during any part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If a homestead is occupied by two or more eligible claimants, each person may file a claim based upon each person’s income and each person’s share of the rent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computed reimbursement shall be determined in accordance with the applicable schedule  provided in Iowa Code section </w:t>
      </w:r>
      <w:hyperlink r:id="rId6">
        <w:r>
          <w:rPr>
            <w:rStyle w:val="Hyperlink"/>
            <w:rFonts w:ascii="Times New Roman" w:hAnsi="Times New Roman"/>
            <w:b w:val="false"/>
            <w:i w:val="false"/>
            <w:color w:val="000000"/>
            <w:sz w:val="22"/>
          </w:rPr>
          <w:t>425.23(1)</w:t>
        </w:r>
      </w:hyperlink>
      <w:r>
        <w:rPr>
          <w:rFonts w:ascii="Times New Roman" w:hAnsi="Times New Roman"/>
          <w:b w:val="false"/>
          <w:i w:val="false"/>
          <w:color w:val="000000"/>
          <w:sz w:val="22"/>
        </w:rPr>
        <w:t xml:space="preserve"> as adjusted by the indexed amount determined in Iowa Code section </w:t>
      </w:r>
      <w:hyperlink r:id="rId7">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425.16(2)</w:t>
        </w:r>
      </w:hyperlink>
      <w:r>
        <w:rPr>
          <w:rFonts w:ascii="Times New Roman" w:hAnsi="Times New Roman"/>
          <w:b w:val="false"/>
          <w:i/>
          <w:color w:val="000000"/>
          <w:sz w:val="22"/>
        </w:rPr>
        <w:t>“b,”</w:t>
      </w:r>
      <w:hyperlink r:id="rId9">
        <w:r>
          <w:rPr>
            <w:rStyle w:val="Hyperlink"/>
            <w:rFonts w:ascii="Times New Roman" w:hAnsi="Times New Roman"/>
            <w:b w:val="false"/>
            <w:i w:val="false"/>
            <w:color w:val="000000"/>
            <w:sz w:val="22"/>
          </w:rPr>
          <w:t>425.17(2)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w:t>
      </w:r>
      <w:r>
        <w:rPr>
          <w:rFonts w:ascii="Times New Roman" w:hAnsi="Times New Roman"/>
          <w:b/>
          <w:i w:val="false"/>
          <w:color w:val="000000"/>
          <w:sz w:val="22"/>
        </w:rPr>
        <w:t xml:space="preserve">(425) </w:t>
      </w:r>
      <w:r>
        <w:rPr>
          <w:rFonts w:ascii="Times New Roman" w:hAnsi="Times New Roman"/>
          <w:b/>
          <w:i w:val="false"/>
          <w:color w:val="000000"/>
          <w:sz w:val="22"/>
        </w:rPr>
        <w:t xml:space="preserve">Dual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A claimant changing homesteads during the base year who will make property tax payments during the fiscal year following the base year and who also made rent payments during the base year is entitled to receive both a property tax credit and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Claimants must file separate claim forms for the property tax credit and the rent reimbursement with the county treasurer and the department,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The claims are to be based on the actual property tax due and rent constituting property tax paid, with a combined maximum of $1,000 upon which the credit and reimbursement can be calculated.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$800 property tax due</w:t>
      </w:r>
      <w:r>
        <w:br/>
      </w:r>
      <w:r>
        <w:rPr>
          <w:rFonts w:ascii="Times New Roman" w:hAnsi="Times New Roman"/>
          <w:b w:val="false"/>
          <w:i w:val="false"/>
          <w:color w:val="000000"/>
          <w:sz w:val="22"/>
        </w:rPr>
        <w:t xml:space="preserve"> $400 rent constituting property taxes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property tax credit must reflect the entire $800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rent reimbursement must reflect only the remaining $200 of the $1,000 maximum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refund warrants for rent reimbursement claims. The county treasurer will apply the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441—62.3</w:t>
      </w:r>
      <w:r>
        <w:rPr>
          <w:rFonts w:ascii="Times New Roman" w:hAnsi="Times New Roman"/>
          <w:b/>
          <w:i w:val="false"/>
          <w:color w:val="000000"/>
          <w:sz w:val="22"/>
        </w:rPr>
        <w:t xml:space="preserve">(425) </w:t>
      </w:r>
      <w:r>
        <w:rPr>
          <w:rFonts w:ascii="Times New Roman" w:hAnsi="Times New Roman"/>
          <w:b/>
          <w:i w:val="false"/>
          <w:color w:val="000000"/>
          <w:sz w:val="22"/>
        </w:rPr>
        <w:t xml:space="preserve">Multipurpose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A multipurpose building is a building that is used for other purposes in addition to being used for living accommodations. If a portion of a homestead property is utilized for business purposes, the property is considered to be a multipurpose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The portion of the property tax due or rent constituting property tax paid attributable to the homestead only is to be used in determining the allowable credit or reimbursement. This portion is to be calculated by determining the percentage of the homestead square footage to the square footage of the entire multipurpose structure. This percentage is then to be applied to the property tax due in the current fiscal year or rent constituting property tax paid for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441—62.4</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val="false"/>
          <w:color w:val="000000"/>
          <w:sz w:val="22"/>
        </w:rPr>
        <w:t>Income includes the amount of in-kind assistance received by the claimant for housing expenses, such as federal rent subsidy payments made directly to the landlord on behalf of the claimant and energy assistance benefits received by the claimant from or through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val="false"/>
          <w:color w:val="000000"/>
          <w:sz w:val="22"/>
        </w:rPr>
        <w:t>In determining income, net operating losses and net capital losses are not to be considered. If the comparison of gains and losses results in a net gain, such amount shall be considered income. If the comparison results in a net loss, the net loss shall be disregarded.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441—62.5</w:t>
      </w:r>
      <w:r>
        <w:rPr>
          <w:rFonts w:ascii="Times New Roman" w:hAnsi="Times New Roman"/>
          <w:b/>
          <w:i w:val="false"/>
          <w:color w:val="000000"/>
          <w:sz w:val="22"/>
        </w:rPr>
        <w:t xml:space="preserve">(425) </w:t>
      </w:r>
      <w:r>
        <w:rPr>
          <w:rFonts w:ascii="Times New Roman" w:hAnsi="Times New Roman"/>
          <w:b/>
          <w:i w:val="false"/>
          <w:color w:val="000000"/>
          <w:sz w:val="22"/>
        </w:rPr>
        <w:t xml:space="preserve">Simultaneous homesteads. </w:t>
      </w:r>
      <w:r>
        <w:rPr>
          <w:rFonts w:ascii="Times New Roman" w:hAnsi="Times New Roman"/>
          <w:b w:val="false"/>
          <w:i w:val="false"/>
          <w:color w:val="000000"/>
          <w:sz w:val="22"/>
        </w:rPr>
        <w:t>A person who rents one property and also rents another property for a simultaneous period of time is limited to claiming rent reimbursement on the property that is considered the person’s domicile.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441—62.6</w:t>
      </w:r>
      <w:r>
        <w:rPr>
          <w:rFonts w:ascii="Times New Roman" w:hAnsi="Times New Roman"/>
          <w:b/>
          <w:i w:val="false"/>
          <w:color w:val="000000"/>
          <w:sz w:val="22"/>
        </w:rPr>
        <w:t xml:space="preserve">(425) </w:t>
      </w:r>
      <w:r>
        <w:rPr>
          <w:rFonts w:ascii="Times New Roman" w:hAnsi="Times New Roman"/>
          <w:b/>
          <w:i w:val="false"/>
          <w:color w:val="000000"/>
          <w:sz w:val="22"/>
        </w:rPr>
        <w:t xml:space="preserve">Mobile, modular, and manufactured homes. </w:t>
      </w:r>
      <w:r>
        <w:rPr>
          <w:rFonts w:ascii="Times New Roman" w:hAnsi="Times New Roman"/>
          <w:b w:val="false"/>
          <w:i w:val="false"/>
          <w:color w:val="000000"/>
          <w:sz w:val="22"/>
        </w:rPr>
        <w:t xml:space="preserve">Rent paid by an eligible claimant for occupancy of a mobile, modular, or manufactured home subject to the annual tax as provided in Iowa Code chapter </w:t>
      </w:r>
      <w:hyperlink r:id="rId15">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 is subject to reimbursement regardless of how the home is taxed.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441—62.7</w:t>
      </w:r>
      <w:r>
        <w:rPr>
          <w:rFonts w:ascii="Times New Roman" w:hAnsi="Times New Roman"/>
          <w:b/>
          <w:i w:val="false"/>
          <w:color w:val="000000"/>
          <w:sz w:val="22"/>
        </w:rPr>
        <w:t xml:space="preserve">(425) </w:t>
      </w:r>
      <w:r>
        <w:rPr>
          <w:rFonts w:ascii="Times New Roman" w:hAnsi="Times New Roman"/>
          <w:b/>
          <w:i w:val="false"/>
          <w:color w:val="000000"/>
          <w:sz w:val="22"/>
        </w:rPr>
        <w:t xml:space="preserve">Totally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val="false"/>
          <w:color w:val="000000"/>
          <w:sz w:val="22"/>
        </w:rPr>
        <w:t>A claimant is considered totally disabled only if the physical or mental impairment or impairments are of such severity that the claimant is not only unable to do work previously performed but cannot, considering the claimant’s age, education, and work experience, engage in any other kind of substantial gainful work that exists in the national economy, regardless of whether such work exists in the immediate area in which the claimant lives, or whether a specific job vacancy exists, or whether the claimant would be hired if the claimant applied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person shall not be considered unable to engage in substantial gainful employment unless the person has attained the age of 18 on or before December 31 of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425.17(11)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441—62.8</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w:t>
      </w:r>
      <w:r>
        <w:rPr>
          <w:rFonts w:ascii="Times New Roman" w:hAnsi="Times New Roman"/>
          <w:b w:val="false"/>
          <w:i w:val="false"/>
          <w:color w:val="000000"/>
          <w:sz w:val="22"/>
        </w:rPr>
        <w:t xml:space="preserve">“Household” includes the claimant and the claimant’s spouse if living with the claimant at any time during the base year. “Living with” does not include a temporary visit. Only one claimant per household is entitled to a reimbursement.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425.17(5)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425.22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441—62.9</w:t>
      </w:r>
      <w:r>
        <w:rPr>
          <w:rFonts w:ascii="Times New Roman" w:hAnsi="Times New Roman"/>
          <w:b/>
          <w:i w:val="false"/>
          <w:color w:val="000000"/>
          <w:sz w:val="22"/>
        </w:rPr>
        <w:t xml:space="preserve">(425) </w:t>
      </w:r>
      <w:r>
        <w:rPr>
          <w:rFonts w:ascii="Times New Roman" w:hAnsi="Times New Roman"/>
          <w:b/>
          <w:i w:val="false"/>
          <w:color w:val="000000"/>
          <w:sz w:val="22"/>
        </w:rPr>
        <w:t xml:space="preserve">Homestead. </w:t>
      </w:r>
      <w:r>
        <w:rPr>
          <w:rFonts w:ascii="Times New Roman" w:hAnsi="Times New Roman"/>
          <w:b w:val="false"/>
          <w:i w:val="false"/>
          <w:color w:val="000000"/>
          <w:sz w:val="22"/>
        </w:rPr>
        <w:t>A person who owns a homestead but is confined to a care facility shall be considered as occupying the owned homestead, provided the person does not lease or otherwise receive profits from others for the use of the homestead. The person shall be eligible for a property tax credit but shall not be eligible for a rent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441—62.10</w:t>
      </w:r>
      <w:r>
        <w:rPr>
          <w:rFonts w:ascii="Times New Roman" w:hAnsi="Times New Roman"/>
          <w:b/>
          <w:i w:val="false"/>
          <w:color w:val="000000"/>
          <w:sz w:val="22"/>
        </w:rPr>
        <w:t xml:space="preserve">(425) </w:t>
      </w:r>
      <w:r>
        <w:rPr>
          <w:rFonts w:ascii="Times New Roman" w:hAnsi="Times New Roman"/>
          <w:b/>
          <w:i w:val="false"/>
          <w:color w:val="000000"/>
          <w:sz w:val="22"/>
        </w:rPr>
        <w:t xml:space="preserve">Gross rent/rent constituting property taxes paid. </w:t>
      </w:r>
      <w:r>
        <w:rPr>
          <w:rFonts w:ascii="Times New Roman" w:hAnsi="Times New Roman"/>
          <w:b w:val="false"/>
          <w:i w:val="false"/>
          <w:color w:val="000000"/>
          <w:sz w:val="22"/>
        </w:rPr>
        <w:t>“Gross rent” means the total amount of rent paid for use of the homestead by the claimant.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425.17(3)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441—62.11</w:t>
      </w:r>
      <w:r>
        <w:rPr>
          <w:rFonts w:ascii="Times New Roman" w:hAnsi="Times New Roman"/>
          <w:b/>
          <w:i w:val="false"/>
          <w:color w:val="000000"/>
          <w:sz w:val="22"/>
        </w:rPr>
        <w:t xml:space="preserve">(425) </w:t>
      </w:r>
      <w:r>
        <w:rPr>
          <w:rFonts w:ascii="Times New Roman" w:hAnsi="Times New Roman"/>
          <w:b/>
          <w:i w:val="false"/>
          <w:color w:val="000000"/>
          <w:sz w:val="22"/>
        </w:rPr>
        <w:t xml:space="preserve">Leased land. </w:t>
      </w:r>
      <w:r>
        <w:rPr>
          <w:rFonts w:ascii="Times New Roman" w:hAnsi="Times New Roman"/>
          <w:b w:val="false"/>
          <w:i w:val="false"/>
          <w:color w:val="000000"/>
          <w:sz w:val="22"/>
        </w:rPr>
        <w:t>An individual who owns a dwelling located on land owned by another may claim a credit of property taxes due on the dwelling and a reimbursement of rental payments made for the use of the land if the land has been assessed for taxation.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441—62.12</w:t>
      </w:r>
      <w:r>
        <w:rPr>
          <w:rFonts w:ascii="Times New Roman" w:hAnsi="Times New Roman"/>
          <w:b/>
          <w:i w:val="false"/>
          <w:color w:val="000000"/>
          <w:sz w:val="22"/>
        </w:rPr>
        <w:t xml:space="preserve">(425) </w:t>
      </w:r>
      <w:r>
        <w:rPr>
          <w:rFonts w:ascii="Times New Roman" w:hAnsi="Times New Roman"/>
          <w:b/>
          <w:i w:val="false"/>
          <w:color w:val="000000"/>
          <w:sz w:val="22"/>
        </w:rPr>
        <w:t xml:space="preserve">Property: taxable status. </w:t>
      </w:r>
      <w:r>
        <w:rPr>
          <w:rFonts w:ascii="Times New Roman" w:hAnsi="Times New Roman"/>
          <w:b w:val="false"/>
          <w:i w:val="false"/>
          <w:color w:val="000000"/>
          <w:sz w:val="22"/>
        </w:rPr>
        <w:t>In order for a claimant to be eligible to file a rent  reimbursement claim, the property upon which the claimant resided during the base year must have been in a taxable status during the base year. If the property was taxable for only part of the base year, the rent reimbursement must be prorated accordingly (OP.ST. BD. Tax Rev. 187). However, this restriction does not apply to property that became tax exempt on or after July 1, 1986, provided the claimant received a reimbursement of rent constituting property taxes paid on the property when it was in a taxable status and continues to reside in the same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441—62.13</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spouse. </w:t>
      </w:r>
      <w:r>
        <w:rPr>
          <w:rFonts w:ascii="Times New Roman" w:hAnsi="Times New Roman"/>
          <w:b w:val="false"/>
          <w:i w:val="false"/>
          <w:color w:val="000000"/>
          <w:sz w:val="22"/>
        </w:rPr>
        <w:t>The income of a spouse does not have to be reported on the claimant’s return unless the spouse lived with the claimant at the property upon which rent reimbursement is claimed. If the spouse lived with the claimant for only a portion of the base year, only that portion of the spouse’s income that was received while living with the claimant must be reported as income on the claimant’s return. If the spouse is eligible to claim reimbursement, the spouse does not have to include any income that was reported on the other claimant’s (spouse’s)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441—62.14</w:t>
      </w:r>
      <w:r>
        <w:rPr>
          <w:rFonts w:ascii="Times New Roman" w:hAnsi="Times New Roman"/>
          <w:b/>
          <w:i w:val="false"/>
          <w:color w:val="000000"/>
          <w:sz w:val="22"/>
        </w:rPr>
        <w:t xml:space="preserve">(425) </w:t>
      </w:r>
      <w:r>
        <w:rPr>
          <w:rFonts w:ascii="Times New Roman" w:hAnsi="Times New Roman"/>
          <w:b/>
          <w:i w:val="false"/>
          <w:color w:val="000000"/>
          <w:sz w:val="22"/>
        </w:rPr>
        <w:t xml:space="preserve">Common law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62.14(1)</w:t>
      </w:r>
      <w:r>
        <w:rPr>
          <w:rFonts w:ascii="Times New Roman" w:hAnsi="Times New Roman"/>
          <w:b w:val="false"/>
          <w:i w:val="false"/>
          <w:color w:val="000000"/>
          <w:sz w:val="22"/>
        </w:rPr>
        <w:t> </w:t>
      </w:r>
      <w:r>
        <w:rPr>
          <w:rFonts w:ascii="Times New Roman" w:hAnsi="Times New Roman"/>
          <w:b w:val="false"/>
          <w:i w:val="false"/>
          <w:color w:val="000000"/>
          <w:sz w:val="22"/>
        </w:rPr>
        <w:t>A common law marriage is a social relationship between two persons that meets all the necessary requisites of a marriage except that it was not solemnized, performed, or witnessed by an official authorized by law to perform marriages.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62.14(2)</w:t>
      </w:r>
      <w:r>
        <w:rPr>
          <w:rFonts w:ascii="Times New Roman" w:hAnsi="Times New Roman"/>
          <w:b w:val="false"/>
          <w:i w:val="false"/>
          <w:color w:val="000000"/>
          <w:sz w:val="22"/>
        </w:rPr>
        <w:t> </w:t>
      </w:r>
      <w:r>
        <w:rPr>
          <w:rFonts w:ascii="Times New Roman" w:hAnsi="Times New Roman"/>
          <w:b w:val="false"/>
          <w:i w:val="false"/>
          <w:color w:val="000000"/>
          <w:sz w:val="22"/>
        </w:rPr>
        <w:t>The necessary elements of a common law marriage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present intent of both parties freely given to become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declaration by the parties or a holding out to the public that they are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cohabitation together as spouses (this means consummation of the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Capability of both parties to enter into the marriage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62.14(3)</w:t>
      </w:r>
      <w:r>
        <w:rPr>
          <w:rFonts w:ascii="Times New Roman" w:hAnsi="Times New Roman"/>
          <w:b w:val="false"/>
          <w:i w:val="false"/>
          <w:color w:val="000000"/>
          <w:sz w:val="22"/>
        </w:rPr>
        <w:t> </w:t>
      </w:r>
      <w:r>
        <w:rPr>
          <w:rFonts w:ascii="Times New Roman" w:hAnsi="Times New Roman"/>
          <w:b w:val="false"/>
          <w:i w:val="false"/>
          <w:color w:val="000000"/>
          <w:sz w:val="22"/>
        </w:rPr>
        <w:t>No special time limit is necessary to establish a common law marriage.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441—62.15</w:t>
      </w:r>
      <w:r>
        <w:rPr>
          <w:rFonts w:ascii="Times New Roman" w:hAnsi="Times New Roman"/>
          <w:b/>
          <w:i w:val="false"/>
          <w:color w:val="000000"/>
          <w:sz w:val="22"/>
        </w:rPr>
        <w:t xml:space="preserve">(425) </w:t>
      </w:r>
      <w:r>
        <w:rPr>
          <w:rFonts w:ascii="Times New Roman" w:hAnsi="Times New Roman"/>
          <w:b/>
          <w:i w:val="false"/>
          <w:color w:val="000000"/>
          <w:sz w:val="22"/>
        </w:rPr>
        <w:t xml:space="preserve">Audit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may investigate the eligibility of a claimant for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62.15(2)</w:t>
      </w:r>
      <w:r>
        <w:rPr>
          <w:rFonts w:ascii="Times New Roman" w:hAnsi="Times New Roman"/>
          <w:b w:val="false"/>
          <w:i w:val="false"/>
          <w:color w:val="000000"/>
          <w:sz w:val="22"/>
        </w:rPr>
        <w:t> </w:t>
      </w:r>
      <w:r>
        <w:rPr>
          <w:rFonts w:ascii="Times New Roman" w:hAnsi="Times New Roman"/>
          <w:b w:val="false"/>
          <w:i/>
          <w:color w:val="000000"/>
          <w:sz w:val="22"/>
        </w:rPr>
        <w:t xml:space="preserve">Recomputed rent reimbursement claim. </w:t>
      </w:r>
      <w:r>
        <w:rPr>
          <w:rFonts w:ascii="Times New Roman" w:hAnsi="Times New Roman"/>
          <w:b w:val="false"/>
          <w:i w:val="false"/>
          <w:color w:val="000000"/>
          <w:sz w:val="22"/>
        </w:rPr>
        <w:t>If the department determines a computed rent reimbursement is in error, the department shall collect any overpayment from the claimant or reimburse the claimant for any underpayment. If a claimant fails to reimburse the department for an overpayment, the amount of overpayment shall be deducted from any future rent reimbursement to which the claimant is entitled.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441—62.16</w:t>
      </w:r>
      <w:r>
        <w:rPr>
          <w:rFonts w:ascii="Times New Roman" w:hAnsi="Times New Roman"/>
          <w:b/>
          <w:i w:val="false"/>
          <w:color w:val="000000"/>
          <w:sz w:val="22"/>
        </w:rPr>
        <w:t xml:space="preserve">(425) </w:t>
      </w:r>
      <w:r>
        <w:rPr>
          <w:rFonts w:ascii="Times New Roman" w:hAnsi="Times New Roman"/>
          <w:b/>
          <w:i w:val="false"/>
          <w:color w:val="000000"/>
          <w:sz w:val="22"/>
        </w:rPr>
        <w:t xml:space="preserve">Extension of time for filing a claim. </w:t>
      </w:r>
      <w:r>
        <w:rPr>
          <w:rFonts w:ascii="Times New Roman" w:hAnsi="Times New Roman"/>
          <w:b w:val="false"/>
          <w:i w:val="false"/>
          <w:color w:val="000000"/>
          <w:sz w:val="22"/>
        </w:rPr>
        <w:t>The granting of an extension of time for filing a claim for reimbursement does not extend the time within which or the dates on or by which eligibility requirements must be satisfied.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441—62.17</w:t>
      </w:r>
      <w:r>
        <w:rPr>
          <w:rFonts w:ascii="Times New Roman" w:hAnsi="Times New Roman"/>
          <w:b/>
          <w:i w:val="false"/>
          <w:color w:val="000000"/>
          <w:sz w:val="22"/>
        </w:rPr>
        <w:t xml:space="preserve">(425) </w:t>
      </w:r>
      <w:r>
        <w:rPr>
          <w:rFonts w:ascii="Times New Roman" w:hAnsi="Times New Roman"/>
          <w:b/>
          <w:i w:val="false"/>
          <w:color w:val="000000"/>
          <w:sz w:val="22"/>
        </w:rPr>
        <w:t xml:space="preserve">Proration of claims. </w:t>
      </w:r>
      <w:r>
        <w:rPr>
          <w:rFonts w:ascii="Times New Roman" w:hAnsi="Times New Roman"/>
          <w:b w:val="false"/>
          <w:i w:val="false"/>
          <w:color w:val="000000"/>
          <w:sz w:val="22"/>
        </w:rPr>
        <w:t xml:space="preserve">If the director or the director’s designee determines that the amount of funding provided pursuant to Iowa Code section </w:t>
      </w:r>
      <w:hyperlink r:id="rId28">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 xml:space="preserve"> will be insufficient to pay all rent reimbursement claims filed, the director or the director’s designee will estimate the percentage at which the claims will be paid and will prorate the payment of each rent reimbursement claim by the same estimated percentage.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441—62.18</w:t>
      </w:r>
      <w:r>
        <w:rPr>
          <w:rFonts w:ascii="Times New Roman" w:hAnsi="Times New Roman"/>
          <w:b/>
          <w:i w:val="false"/>
          <w:color w:val="000000"/>
          <w:sz w:val="22"/>
        </w:rPr>
        <w:t xml:space="preserve">(425) </w:t>
      </w:r>
      <w:r>
        <w:rPr>
          <w:rFonts w:ascii="Times New Roman" w:hAnsi="Times New Roman"/>
          <w:b/>
          <w:i w:val="false"/>
          <w:color w:val="000000"/>
          <w:sz w:val="22"/>
        </w:rPr>
        <w:t xml:space="preserve">Unreasonable hardship. </w:t>
      </w:r>
      <w:r>
        <w:rPr>
          <w:rFonts w:ascii="Times New Roman" w:hAnsi="Times New Roman"/>
          <w:b w:val="false"/>
          <w:i w:val="false"/>
          <w:color w:val="000000"/>
          <w:sz w:val="22"/>
        </w:rPr>
        <w:t>In order to avoid any unreasonable hardship to a claimant, the director or the director’s designee may review the facts and circumstances of the claim as set forth by the claimant. The director or the director’s designee may investigate all factors related to the specific case as deemed appropriate by the director or the director’s designee. If the director or the director’s designee is satisfied that the claim qualifies as an undue hardship for the claimant, the claim will be approved by the director or the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441—62.19</w:t>
      </w:r>
      <w:r>
        <w:rPr>
          <w:rFonts w:ascii="Times New Roman" w:hAnsi="Times New Roman"/>
          <w:b/>
          <w:i w:val="false"/>
          <w:color w:val="000000"/>
          <w:sz w:val="22"/>
        </w:rPr>
        <w:t xml:space="preserve">(425)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Notice of adverse action taken by the department shall be issued in accordance with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shall be given in accordance with </w:t>
      </w:r>
      <w:hyperlink r:id="rId3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6557C</w:t>
      </w:r>
      <w:r>
        <w:rPr>
          <w:rFonts w:ascii="Times New Roman" w:hAnsi="Times New Roman"/>
          <w:b w:val="false"/>
          <w:i w:val="false"/>
          <w:color w:val="000000"/>
          <w:sz w:val="21"/>
        </w:rPr>
        <w:t xml:space="preserve"> (Notice ARC 6382C, IAB 6/29/22)</w:t>
      </w:r>
      <w:r>
        <w:rPr>
          <w:rFonts w:ascii="Times New Roman" w:hAnsi="Times New Roman"/>
          <w:b w:val="false"/>
          <w:i w:val="false"/>
          <w:color w:val="000000"/>
          <w:sz w:val="21"/>
        </w:rPr>
        <w:t>, IAB 10/5/22, effective 1/1/23]</w:t>
      </w:r>
    </w:p>
    <w:p>
      <w:pPr>
        <w:spacing w:before="0" w:after="0"/>
        <w:ind w:left="120"/>
        <w:jc w:val="center"/>
      </w:pPr>
      <w:r>
        <w:rPr>
          <w:rFonts w:ascii="Times New Roman" w:hAnsi="Times New Roman"/>
          <w:b w:val="false"/>
          <w:i w:val="false"/>
          <w:color w:val="000000"/>
          <w:sz w:val="21"/>
        </w:rPr>
        <w:t>[Filed ARC 9309C</w:t>
      </w:r>
      <w:r>
        <w:rPr>
          <w:rFonts w:ascii="Times New Roman" w:hAnsi="Times New Roman"/>
          <w:b w:val="false"/>
          <w:i w:val="false"/>
          <w:color w:val="000000"/>
          <w:sz w:val="21"/>
        </w:rPr>
        <w:t xml:space="preserve"> (Notice ARC 8525C, IAB 12/11/24)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5.23.pdf" Type="http://schemas.openxmlformats.org/officeDocument/2006/relationships/hyperlink" Id="rId5"/>
    <Relationship TargetMode="External" Target="https://www.legis.iowa.gov/docs/ico/chapter/425.23.pdf" Type="http://schemas.openxmlformats.org/officeDocument/2006/relationships/hyperlink" Id="rId6"/>
    <Relationship TargetMode="External" Target="https://www.legis.iowa.gov/docs/ico/chapter/425.23.pdf" Type="http://schemas.openxmlformats.org/officeDocument/2006/relationships/hyperlink" Id="rId7"/>
    <Relationship TargetMode="External" Target="https://www.legis.iowa.gov/docs/ico/chapter/425.16.pdf" Type="http://schemas.openxmlformats.org/officeDocument/2006/relationships/hyperlink" Id="rId8"/>
    <Relationship TargetMode="External" Target="https://www.legis.iowa.gov/docs/ico/chapter/425.17.pdf" Type="http://schemas.openxmlformats.org/officeDocument/2006/relationships/hyperlink" Id="rId9"/>
    <Relationship TargetMode="External" Target="https://www.legis.iowa.gov/docs/ico/chapter/425.23.pdf" Type="http://schemas.openxmlformats.org/officeDocument/2006/relationships/hyperlink" Id="rId10"/>
    <Relationship TargetMode="External" Target="https://www.legis.iowa.gov/docs/ico/chapter/425.24.pdf" Type="http://schemas.openxmlformats.org/officeDocument/2006/relationships/hyperlink" Id="rId11"/>
    <Relationship TargetMode="External" Target="https://www.legis.iowa.gov/docs/ico/chapter/425.17.pdf" Type="http://schemas.openxmlformats.org/officeDocument/2006/relationships/hyperlink" Id="rId12"/>
    <Relationship TargetMode="External" Target="https://www.legis.iowa.gov/docs/ico/chapter/425.17.pdf" Type="http://schemas.openxmlformats.org/officeDocument/2006/relationships/hyperlink" Id="rId13"/>
    <Relationship TargetMode="External" Target="https://www.legis.iowa.gov/docs/ico/chapter/425.17.pdf" Type="http://schemas.openxmlformats.org/officeDocument/2006/relationships/hyperlink" Id="rId14"/>
    <Relationship TargetMode="External" Target="https://www.legis.iowa.gov/docs/ico/chapter/435.pdf" Type="http://schemas.openxmlformats.org/officeDocument/2006/relationships/hyperlink" Id="rId15"/>
    <Relationship TargetMode="External" Target="https://www.legis.iowa.gov/docs/ico/chapter/425.17.pdf" Type="http://schemas.openxmlformats.org/officeDocument/2006/relationships/hyperlink" Id="rId16"/>
    <Relationship TargetMode="External" Target="https://www.legis.iowa.gov/docs/ico/chapter/425.17.pdf" Type="http://schemas.openxmlformats.org/officeDocument/2006/relationships/hyperlink" Id="rId17"/>
    <Relationship TargetMode="External" Target="https://www.legis.iowa.gov/docs/ico/chapter/425.17.pdf" Type="http://schemas.openxmlformats.org/officeDocument/2006/relationships/hyperlink" Id="rId18"/>
    <Relationship TargetMode="External" Target="https://www.legis.iowa.gov/docs/ico/chapter/425.22.pdf" Type="http://schemas.openxmlformats.org/officeDocument/2006/relationships/hyperlink" Id="rId19"/>
    <Relationship TargetMode="External" Target="https://www.legis.iowa.gov/docs/ico/chapter/425.17.pdf" Type="http://schemas.openxmlformats.org/officeDocument/2006/relationships/hyperlink" Id="rId20"/>
    <Relationship TargetMode="External" Target="https://www.legis.iowa.gov/docs/ico/chapter/423.17.pdf" Type="http://schemas.openxmlformats.org/officeDocument/2006/relationships/hyperlink" Id="rId21"/>
    <Relationship TargetMode="External" Target="https://www.legis.iowa.gov/docs/ico/chapter/425.17.pdf" Type="http://schemas.openxmlformats.org/officeDocument/2006/relationships/hyperlink" Id="rId22"/>
    <Relationship TargetMode="External" Target="https://www.legis.iowa.gov/docs/ico/chapter/425.17.pdf" Type="http://schemas.openxmlformats.org/officeDocument/2006/relationships/hyperlink" Id="rId23"/>
    <Relationship TargetMode="External" Target="https://www.legis.iowa.gov/docs/ico/chapter/425.17.pdf" Type="http://schemas.openxmlformats.org/officeDocument/2006/relationships/hyperlink" Id="rId24"/>
    <Relationship TargetMode="External" Target="https://www.legis.iowa.gov/docs/ico/chapter/425.17.pdf" Type="http://schemas.openxmlformats.org/officeDocument/2006/relationships/hyperlink" Id="rId25"/>
    <Relationship TargetMode="External" Target="https://www.legis.iowa.gov/docs/ico/chapter/425.27.pdf" Type="http://schemas.openxmlformats.org/officeDocument/2006/relationships/hyperlink" Id="rId26"/>
    <Relationship TargetMode="External" Target="https://www.legis.iowa.gov/docs/ico/chapter/425.20.pdf" Type="http://schemas.openxmlformats.org/officeDocument/2006/relationships/hyperlink" Id="rId27"/>
    <Relationship TargetMode="External" Target="https://www.legis.iowa.gov/docs/ico/chapter/425.39.pdf" Type="http://schemas.openxmlformats.org/officeDocument/2006/relationships/hyperlink" Id="rId28"/>
    <Relationship TargetMode="External" Target="https://www.legis.iowa.gov/docs/ico/chapter/25B.7.pdf" Type="http://schemas.openxmlformats.org/officeDocument/2006/relationships/hyperlink" Id="rId29"/>
    <Relationship TargetMode="External" Target="https://www.legis.iowa.gov/docs/ico/chapter/425.39.pdf" Type="http://schemas.openxmlformats.org/officeDocument/2006/relationships/hyperlink" Id="rId30"/>
    <Relationship TargetMode="External" Target="https://www.legis.iowa.gov/docs/ico/chapter/425.37.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ac/chapter/441.2506.pdf" Type="http://schemas.openxmlformats.org/officeDocument/2006/relationships/hyperlink" Id="rId33"/>
    <Relationship TargetMode="External" Target="https://www.legis.iowa.gov/docs/ico/chapter/17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