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REFUGEE CASH ASSISTANCE</w:t>
      </w:r>
    </w:p>
    <w:p>
      <w:pPr>
        <w:spacing w:before="0" w:after="0"/>
        <w:ind w:left="120"/>
        <w:jc w:val="center"/>
      </w:pPr>
      <w:r>
        <w:rPr>
          <w:rFonts w:ascii="Times New Roman" w:hAnsi="Times New Roman"/>
          <w:b w:val="false"/>
          <w:i w:val="false"/>
          <w:color w:val="000000"/>
          <w:sz w:val="14"/>
        </w:rPr>
        <w:t>[Prior to 9/24/86 IAC Supp., see Refugee Service 715—Chapters 1 to 8]</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441—60.1</w:t>
      </w:r>
      <w:r>
        <w:rPr>
          <w:rFonts w:ascii="Times New Roman" w:hAnsi="Times New Roman"/>
          <w:b/>
          <w:i w:val="false"/>
          <w:color w:val="000000"/>
          <w:sz w:val="22"/>
        </w:rPr>
        <w:t xml:space="preserve">(217) </w:t>
      </w:r>
      <w:r>
        <w:rPr>
          <w:rFonts w:ascii="Times New Roman" w:hAnsi="Times New Roman"/>
          <w:b/>
          <w:i w:val="false"/>
          <w:color w:val="000000"/>
          <w:sz w:val="22"/>
        </w:rPr>
        <w:t xml:space="preserve">Alienage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60.1(1)</w:t>
      </w:r>
      <w:r>
        <w:rPr>
          <w:rFonts w:ascii="Times New Roman" w:hAnsi="Times New Roman"/>
          <w:b w:val="false"/>
          <w:i w:val="false"/>
          <w:color w:val="000000"/>
          <w:sz w:val="22"/>
        </w:rPr>
        <w:t> </w:t>
      </w:r>
      <w:r>
        <w:rPr>
          <w:rFonts w:ascii="Times New Roman" w:hAnsi="Times New Roman"/>
          <w:b w:val="false"/>
          <w:i/>
          <w:color w:val="000000"/>
          <w:sz w:val="22"/>
        </w:rPr>
        <w:t xml:space="preserve">Immigration status. </w:t>
      </w:r>
      <w:r>
        <w:rPr>
          <w:rFonts w:ascii="Times New Roman" w:hAnsi="Times New Roman"/>
          <w:b w:val="false"/>
          <w:i w:val="false"/>
          <w:color w:val="000000"/>
          <w:sz w:val="22"/>
        </w:rPr>
        <w:t>A refugee is a person whose immigration status is one of the following statuses as issued by the United States Immigration and Naturalization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Granted asylum under Section 208 of the Immigration and Nationality Act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Admitted as a refugee under Section 207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Paroled as a refugee or asylee under Section 212(d)(5)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Cuban and Haitian entrants in accordance with requirements in </w:t>
      </w:r>
      <w:r>
        <w:rPr>
          <w:rFonts w:ascii="Times New Roman" w:hAnsi="Times New Roman"/>
          <w:b w:val="false"/>
          <w:i w:val="false"/>
          <w:color w:val="000000"/>
          <w:sz w:val="22"/>
        </w:rPr>
        <w:t>45 CFR Part 401</w:t>
      </w:r>
      <w:r>
        <w:rPr>
          <w:rFonts w:ascii="Times New Roman" w:hAnsi="Times New Roman"/>
          <w:b w:val="false"/>
          <w:i w:val="false"/>
          <w:color w:val="000000"/>
          <w:sz w:val="22"/>
        </w:rPr>
        <w:t xml:space="preserve"> as amended to March 22,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Certain Amerasians from Vietnam who are admitted to the U.S. as immigrants pursuant to Section 584 of the Foreign Operations, Export Financing, and Related Programs Appropriations Acts, 1988, as contained in Section 101(e) of Public Law 100-202 and amended by the 9th proviso under Migration and Refugee Assistance in Title II of the Foreign Operations, Export Financing, and Related Programs Appropriations Acts, 1989 (Public Law 100-461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Admitted for permanent residence, provided the individual previously held one of the statuses identified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60.1(2)</w:t>
      </w:r>
      <w:r>
        <w:rPr>
          <w:rFonts w:ascii="Times New Roman" w:hAnsi="Times New Roman"/>
          <w:b w:val="false"/>
          <w:i w:val="false"/>
          <w:color w:val="000000"/>
          <w:sz w:val="22"/>
        </w:rPr>
        <w:t> </w:t>
      </w:r>
      <w:r>
        <w:rPr>
          <w:rFonts w:ascii="Times New Roman" w:hAnsi="Times New Roman"/>
          <w:b w:val="false"/>
          <w:i/>
          <w:color w:val="000000"/>
          <w:sz w:val="22"/>
        </w:rPr>
        <w:t xml:space="preserve">Nonrefugee child of refugee parents. </w:t>
      </w:r>
      <w:r>
        <w:rPr>
          <w:rFonts w:ascii="Times New Roman" w:hAnsi="Times New Roman"/>
          <w:b w:val="false"/>
          <w:i w:val="false"/>
          <w:color w:val="000000"/>
          <w:sz w:val="22"/>
        </w:rPr>
        <w:t xml:space="preserve">A nonrefugee child of refugee parents, when both parents in the home are refugees as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xml:space="preserve">, meets the alienage requirements. When only one parent is in the home and that parent is a refugee as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the child meets the alienage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w:t>
      </w:r>
      <w:r>
        <w:rPr>
          <w:rFonts w:ascii="Times New Roman" w:hAnsi="Times New Roman"/>
          <w:b w:val="false"/>
          <w:i w:val="false"/>
          <w:color w:val="000000"/>
          <w:sz w:val="22"/>
        </w:rPr>
        <w:t> </w:t>
      </w:r>
      <w:r>
        <w:rPr>
          <w:rFonts w:ascii="Times New Roman" w:hAnsi="Times New Roman"/>
          <w:b w:val="false"/>
          <w:i/>
          <w:color w:val="000000"/>
          <w:sz w:val="22"/>
        </w:rPr>
        <w:t xml:space="preserve">Immigration and Naturalization Service documents. </w:t>
      </w:r>
      <w:r>
        <w:rPr>
          <w:rFonts w:ascii="Times New Roman" w:hAnsi="Times New Roman"/>
          <w:b w:val="false"/>
          <w:i w:val="false"/>
          <w:color w:val="000000"/>
          <w:sz w:val="22"/>
        </w:rPr>
        <w:t xml:space="preserve">Each refugee shall provide Immigration and Naturalization Service documents in the form of either an I-94 card, an I-151 or I-551 card, an I-181 card, or other appropriate documentation to support the immigration status defined in subrule </w:t>
      </w:r>
      <w:r>
        <w:rPr>
          <w:rFonts w:ascii="Times New Roman" w:hAnsi="Times New Roman"/>
          <w:b w:val="false"/>
          <w:i w:val="false"/>
          <w:color w:val="000000"/>
          <w:sz w:val="22"/>
        </w:rPr>
        <w:t>60.1(1)</w:t>
      </w:r>
      <w:r>
        <w:rPr>
          <w:rFonts w:ascii="Times New Roman" w:hAnsi="Times New Roman"/>
          <w:b w:val="false"/>
          <w:i w:val="false"/>
          <w:color w:val="000000"/>
          <w:sz w:val="22"/>
        </w:rPr>
        <w:t>. If the name of the resettlement agency that resettled the refugee is not on the document, the refugee shall provide the name of the resettlement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 xml:space="preserve">Application policies are defined in rules </w:t>
      </w:r>
      <w:hyperlink r:id="rId5">
        <w:r>
          <w:rPr>
            <w:rStyle w:val="Hyperlink"/>
            <w:rFonts w:ascii="Times New Roman" w:hAnsi="Times New Roman"/>
            <w:b w:val="false"/>
            <w:i w:val="false"/>
            <w:color w:val="000000"/>
            <w:sz w:val="22"/>
          </w:rPr>
          <w:t>441—40.23</w:t>
        </w:r>
      </w:hyperlink>
      <w:r>
        <w:rPr>
          <w:rFonts w:ascii="Times New Roman" w:hAnsi="Times New Roman"/>
          <w:b w:val="false"/>
          <w:i w:val="false"/>
          <w:color w:val="000000"/>
          <w:sz w:val="22"/>
        </w:rPr>
        <w:t xml:space="preserve">(239B), </w:t>
      </w:r>
      <w:hyperlink r:id="rId6">
        <w:r>
          <w:rPr>
            <w:rStyle w:val="Hyperlink"/>
            <w:rFonts w:ascii="Times New Roman" w:hAnsi="Times New Roman"/>
            <w:b w:val="false"/>
            <w:i w:val="false"/>
            <w:color w:val="000000"/>
            <w:sz w:val="22"/>
          </w:rPr>
          <w:t>441—40.24</w:t>
        </w:r>
      </w:hyperlink>
      <w:r>
        <w:rPr>
          <w:rFonts w:ascii="Times New Roman" w:hAnsi="Times New Roman"/>
          <w:b w:val="false"/>
          <w:i w:val="false"/>
          <w:color w:val="000000"/>
          <w:sz w:val="22"/>
        </w:rPr>
        <w:t xml:space="preserve">(239B), and </w:t>
      </w:r>
      <w:hyperlink r:id="rId7">
        <w:r>
          <w:rPr>
            <w:rStyle w:val="Hyperlink"/>
            <w:rFonts w:ascii="Times New Roman" w:hAnsi="Times New Roman"/>
            <w:b w:val="false"/>
            <w:i w:val="false"/>
            <w:color w:val="000000"/>
            <w:sz w:val="22"/>
          </w:rPr>
          <w:t>441—40.25</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441—60.3</w:t>
      </w:r>
      <w:r>
        <w:rPr>
          <w:rFonts w:ascii="Times New Roman" w:hAnsi="Times New Roman"/>
          <w:b/>
          <w:i w:val="false"/>
          <w:color w:val="000000"/>
          <w:sz w:val="22"/>
        </w:rPr>
        <w:t xml:space="preserve">(217) </w:t>
      </w:r>
      <w:r>
        <w:rPr>
          <w:rFonts w:ascii="Times New Roman" w:hAnsi="Times New Roman"/>
          <w:b/>
          <w:i w:val="false"/>
          <w:color w:val="000000"/>
          <w:sz w:val="22"/>
        </w:rPr>
        <w:t xml:space="preserve">Effective date of grant. </w:t>
      </w:r>
      <w:r>
        <w:rPr>
          <w:rFonts w:ascii="Times New Roman" w:hAnsi="Times New Roman"/>
          <w:b w:val="false"/>
          <w:i w:val="false"/>
          <w:color w:val="000000"/>
          <w:sz w:val="22"/>
        </w:rPr>
        <w:t xml:space="preserve">The date of eligibility for a grant is defined in rule </w:t>
      </w:r>
      <w:hyperlink r:id="rId8">
        <w:r>
          <w:rPr>
            <w:rStyle w:val="Hyperlink"/>
            <w:rFonts w:ascii="Times New Roman" w:hAnsi="Times New Roman"/>
            <w:b w:val="false"/>
            <w:i w:val="false"/>
            <w:color w:val="000000"/>
            <w:sz w:val="22"/>
          </w:rPr>
          <w:t>441—40.26</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441—60.4</w:t>
      </w:r>
      <w:r>
        <w:rPr>
          <w:rFonts w:ascii="Times New Roman" w:hAnsi="Times New Roman"/>
          <w:b/>
          <w:i w:val="false"/>
          <w:color w:val="000000"/>
          <w:sz w:val="22"/>
        </w:rPr>
        <w:t xml:space="preserve">(217) </w:t>
      </w:r>
      <w:r>
        <w:rPr>
          <w:rFonts w:ascii="Times New Roman" w:hAnsi="Times New Roman"/>
          <w:b/>
          <w:i w:val="false"/>
          <w:color w:val="000000"/>
          <w:sz w:val="22"/>
        </w:rPr>
        <w:t xml:space="preserve">Accepting other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(FIP). </w:t>
      </w:r>
      <w:r>
        <w:rPr>
          <w:rFonts w:ascii="Times New Roman" w:hAnsi="Times New Roman"/>
          <w:b w:val="false"/>
          <w:i w:val="false"/>
          <w:color w:val="000000"/>
          <w:sz w:val="22"/>
        </w:rPr>
        <w:t xml:space="preserve">A refugee applicant or recipient shall accept a FIP grant if eligible under 441—Chapters </w:t>
      </w:r>
      <w:hyperlink r:id="rId9">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color w:val="000000"/>
          <w:sz w:val="22"/>
        </w:rPr>
        <w:t xml:space="preserve">Supplemental security income (SSI). </w:t>
      </w:r>
      <w:r>
        <w:rPr>
          <w:rFonts w:ascii="Times New Roman" w:hAnsi="Times New Roman"/>
          <w:b w:val="false"/>
          <w:i w:val="false"/>
          <w:color w:val="000000"/>
          <w:sz w:val="22"/>
        </w:rPr>
        <w:t>Refugees who are 65 or older, blind, or disabled shall apply for and, if eligible, accept SSI.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441—60.5</w:t>
      </w:r>
      <w:r>
        <w:rPr>
          <w:rFonts w:ascii="Times New Roman" w:hAnsi="Times New Roman"/>
          <w:b/>
          <w:i w:val="false"/>
          <w:color w:val="000000"/>
          <w:sz w:val="22"/>
        </w:rPr>
        <w:t xml:space="preserve">(217) </w:t>
      </w:r>
      <w:r>
        <w:rPr>
          <w:rFonts w:ascii="Times New Roman" w:hAnsi="Times New Roman"/>
          <w:b/>
          <w:i w:val="false"/>
          <w:color w:val="000000"/>
          <w:sz w:val="22"/>
        </w:rPr>
        <w:t xml:space="preserve">Eligibility factors.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color w:val="000000"/>
          <w:sz w:val="22"/>
        </w:rPr>
        <w:t xml:space="preserve">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unmarried refugee is considered an adult at age 18, except as defined in </w:t>
      </w:r>
      <w:hyperlink r:id="rId11">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and is eligible to receive refugee cash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Married refugees with or without children as defined in </w:t>
      </w:r>
      <w:hyperlink r:id="rId12">
        <w:r>
          <w:rPr>
            <w:rStyle w:val="Hyperlink"/>
            <w:rFonts w:ascii="Times New Roman" w:hAnsi="Times New Roman"/>
            <w:b w:val="false"/>
            <w:i w:val="false"/>
            <w:color w:val="000000"/>
            <w:sz w:val="22"/>
          </w:rPr>
          <w:t>441—subrule 41.21(1)</w:t>
        </w:r>
      </w:hyperlink>
      <w:r>
        <w:rPr>
          <w:rFonts w:ascii="Times New Roman" w:hAnsi="Times New Roman"/>
          <w:b w:val="false"/>
          <w:i w:val="false"/>
          <w:color w:val="000000"/>
          <w:sz w:val="22"/>
        </w:rPr>
        <w:t xml:space="preserve"> are eligible regardless of age if other eligibility factors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color w:val="000000"/>
          <w:sz w:val="22"/>
        </w:rPr>
        <w:t xml:space="preserve">Residency. </w:t>
      </w:r>
      <w:r>
        <w:rPr>
          <w:rFonts w:ascii="Times New Roman" w:hAnsi="Times New Roman"/>
          <w:b w:val="false"/>
          <w:i w:val="false"/>
          <w:color w:val="000000"/>
          <w:sz w:val="22"/>
        </w:rPr>
        <w:t xml:space="preserve">Residency requirements are defined in </w:t>
      </w:r>
      <w:hyperlink r:id="rId13">
        <w:r>
          <w:rPr>
            <w:rStyle w:val="Hyperlink"/>
            <w:rFonts w:ascii="Times New Roman" w:hAnsi="Times New Roman"/>
            <w:b w:val="false"/>
            <w:i w:val="false"/>
            <w:color w:val="000000"/>
            <w:sz w:val="22"/>
          </w:rPr>
          <w:t>441—subrule 41.23(1)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color w:val="000000"/>
          <w:sz w:val="22"/>
        </w:rPr>
        <w:t xml:space="preserve">Social security numbers. </w:t>
      </w:r>
      <w:r>
        <w:rPr>
          <w:rFonts w:ascii="Times New Roman" w:hAnsi="Times New Roman"/>
          <w:b w:val="false"/>
          <w:i w:val="false"/>
          <w:color w:val="000000"/>
          <w:sz w:val="22"/>
        </w:rPr>
        <w:t xml:space="preserve">Refugees are required to furnish a social security number as defined in </w:t>
      </w:r>
      <w:hyperlink r:id="rId14">
        <w:r>
          <w:rPr>
            <w:rStyle w:val="Hyperlink"/>
            <w:rFonts w:ascii="Times New Roman" w:hAnsi="Times New Roman"/>
            <w:b w:val="false"/>
            <w:i w:val="false"/>
            <w:color w:val="000000"/>
            <w:sz w:val="22"/>
          </w:rPr>
          <w:t>441—subrule 41.22(13)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need. </w:t>
      </w:r>
      <w:r>
        <w:rPr>
          <w:rFonts w:ascii="Times New Roman" w:hAnsi="Times New Roman"/>
          <w:b w:val="false"/>
          <w:i w:val="false"/>
          <w:color w:val="000000"/>
          <w:sz w:val="22"/>
        </w:rPr>
        <w:t xml:space="preserve">Need will be determined as defined in </w:t>
      </w:r>
      <w:hyperlink r:id="rId15">
        <w:r>
          <w:rPr>
            <w:rStyle w:val="Hyperlink"/>
            <w:rFonts w:ascii="Times New Roman" w:hAnsi="Times New Roman"/>
            <w:b w:val="false"/>
            <w:i w:val="false"/>
            <w:color w:val="000000"/>
            <w:sz w:val="22"/>
          </w:rPr>
          <w:t>441—41.28</w:t>
        </w:r>
      </w:hyperlink>
      <w:r>
        <w:rPr>
          <w:rFonts w:ascii="Times New Roman" w:hAnsi="Times New Roman"/>
          <w:b w:val="false"/>
          <w:i w:val="false"/>
          <w:color w:val="000000"/>
          <w:sz w:val="22"/>
        </w:rPr>
        <w:t>(239B), except as otherwise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60.5(5)</w:t>
      </w:r>
      <w:r>
        <w:rPr>
          <w:rFonts w:ascii="Times New Roman" w:hAnsi="Times New Roman"/>
          <w:b w:val="false"/>
          <w:i w:val="false"/>
          <w:color w:val="000000"/>
          <w:sz w:val="22"/>
        </w:rPr>
        <w:t> </w:t>
      </w:r>
      <w:r>
        <w:rPr>
          <w:rFonts w:ascii="Times New Roman" w:hAnsi="Times New Roman"/>
          <w:b w:val="false"/>
          <w:i/>
          <w:color w:val="000000"/>
          <w:sz w:val="22"/>
        </w:rPr>
        <w:t xml:space="preserve">Income. </w:t>
      </w:r>
      <w:r>
        <w:rPr>
          <w:rFonts w:ascii="Times New Roman" w:hAnsi="Times New Roman"/>
          <w:b w:val="false"/>
          <w:i w:val="false"/>
          <w:color w:val="000000"/>
          <w:sz w:val="22"/>
        </w:rPr>
        <w:t xml:space="preserve">Income is defined in rules </w:t>
      </w:r>
      <w:hyperlink r:id="rId16">
        <w:r>
          <w:rPr>
            <w:rStyle w:val="Hyperlink"/>
            <w:rFonts w:ascii="Times New Roman" w:hAnsi="Times New Roman"/>
            <w:b w:val="false"/>
            <w:i w:val="false"/>
            <w:color w:val="000000"/>
            <w:sz w:val="22"/>
          </w:rPr>
          <w:t>441—40.21</w:t>
        </w:r>
      </w:hyperlink>
      <w:r>
        <w:rPr>
          <w:rFonts w:ascii="Times New Roman" w:hAnsi="Times New Roman"/>
          <w:b w:val="false"/>
          <w:i w:val="false"/>
          <w:color w:val="000000"/>
          <w:sz w:val="22"/>
        </w:rPr>
        <w:t xml:space="preserve">(239B) and </w:t>
      </w:r>
      <w:hyperlink r:id="rId17">
        <w:r>
          <w:rPr>
            <w:rStyle w:val="Hyperlink"/>
            <w:rFonts w:ascii="Times New Roman" w:hAnsi="Times New Roman"/>
            <w:b w:val="false"/>
            <w:i w:val="false"/>
            <w:color w:val="000000"/>
            <w:sz w:val="22"/>
          </w:rPr>
          <w:t>441—41.27</w:t>
        </w:r>
      </w:hyperlink>
      <w:r>
        <w:rPr>
          <w:rFonts w:ascii="Times New Roman" w:hAnsi="Times New Roman"/>
          <w:b w:val="false"/>
          <w:i w:val="false"/>
          <w:color w:val="000000"/>
          <w:sz w:val="22"/>
        </w:rPr>
        <w:t>(239B).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 xml:space="preserve">Resource requirements are defined in rule </w:t>
      </w:r>
      <w:hyperlink r:id="rId18">
        <w:r>
          <w:rPr>
            <w:rStyle w:val="Hyperlink"/>
            <w:rFonts w:ascii="Times New Roman" w:hAnsi="Times New Roman"/>
            <w:b w:val="false"/>
            <w:i w:val="false"/>
            <w:color w:val="000000"/>
            <w:sz w:val="22"/>
          </w:rPr>
          <w:t>441—41.26</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441—60.6</w:t>
      </w:r>
      <w:r>
        <w:rPr>
          <w:rFonts w:ascii="Times New Roman" w:hAnsi="Times New Roman"/>
          <w:b/>
          <w:i w:val="false"/>
          <w:color w:val="000000"/>
          <w:sz w:val="22"/>
        </w:rPr>
        <w:t xml:space="preserve">(217) </w:t>
      </w:r>
      <w:r>
        <w:rPr>
          <w:rFonts w:ascii="Times New Roman" w:hAnsi="Times New Roman"/>
          <w:b/>
          <w:i w:val="false"/>
          <w:color w:val="000000"/>
          <w:sz w:val="22"/>
        </w:rPr>
        <w:t xml:space="preserve">Students in institutions of higher education. </w:t>
      </w:r>
      <w:r>
        <w:rPr>
          <w:rFonts w:ascii="Times New Roman" w:hAnsi="Times New Roman"/>
          <w:b w:val="false"/>
          <w:i w:val="false"/>
          <w:color w:val="000000"/>
          <w:sz w:val="22"/>
        </w:rPr>
        <w:t>A refugee who is a full-time student in an institution of higher education (other than a correspondence school) is ineligible for assistance with two exceptions: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refugee is in a program approved as part of an individual employability plan as defined in subrule </w:t>
      </w:r>
      <w:r>
        <w:rPr>
          <w:rFonts w:ascii="Times New Roman" w:hAnsi="Times New Roman"/>
          <w:b w:val="false"/>
          <w:i w:val="false"/>
          <w:color w:val="000000"/>
          <w:sz w:val="22"/>
        </w:rPr>
        <w:t>60.9(3)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refugee is in a program solely in 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Institution of higher education. </w:t>
      </w:r>
      <w:r>
        <w:rPr>
          <w:rFonts w:ascii="Times New Roman" w:hAnsi="Times New Roman"/>
          <w:b w:val="false"/>
          <w:i w:val="false"/>
          <w:color w:val="000000"/>
          <w:sz w:val="22"/>
        </w:rPr>
        <w:t>An institution of higher education is defined as an educational institution that provides an education program as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public or private nonprofit institution of higher education is an educational institution that provides an educational program for which it awards an associate, baccalaureate, graduate, or professional degree; or at least a two-year program that is acceptable for full credit toward a baccalaureate degree; or at least a one-year training program that leads to a certificate or degree and prepares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proprietary institution of higher education is an educational institution that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postsecondary vocational institution is a public or private nonprofit educational institution that provides at least a six-month program of training to prepare students for gainful employment in a recognized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Full-time student. </w:t>
      </w:r>
      <w:r>
        <w:rPr>
          <w:rFonts w:ascii="Times New Roman" w:hAnsi="Times New Roman"/>
          <w:b w:val="false"/>
          <w:i w:val="false"/>
          <w:color w:val="000000"/>
          <w:sz w:val="22"/>
        </w:rPr>
        <w:t>A full-time student is a student who is carrying a full-time academic workload that equals or exceeds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Twelve semester or 12 quarter hours per academic term in those institutions using standard semester, trimester, or quarter-hour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 semester hours or 36 quarter hours per academic year for institutions using credit hours to measure progress, but not using semester, trimester, or quarter systems, or the prorated equivalent for programs of less than one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Twenty-four clock hours per week for institutions using clock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series of courses or seminars that equals 12 semester hours or 12 quarter hours in a maximum of 18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work portion of a cooperative education program in that the amount of work performed is equivalent to the academic workload of a full-time student.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441—60.7</w:t>
      </w:r>
      <w:r>
        <w:rPr>
          <w:rFonts w:ascii="Times New Roman" w:hAnsi="Times New Roman"/>
          <w:b/>
          <w:i w:val="false"/>
          <w:color w:val="000000"/>
          <w:sz w:val="22"/>
        </w:rPr>
        <w:t xml:space="preserve">(217) </w:t>
      </w:r>
      <w:r>
        <w:rPr>
          <w:rFonts w:ascii="Times New Roman" w:hAnsi="Times New Roman"/>
          <w:b/>
          <w:i w:val="false"/>
          <w:color w:val="000000"/>
          <w:sz w:val="22"/>
        </w:rPr>
        <w:t xml:space="preserve">Time limit for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color w:val="000000"/>
          <w:sz w:val="22"/>
        </w:rPr>
        <w:t xml:space="preserve">Assistance. </w:t>
      </w:r>
      <w:r>
        <w:rPr>
          <w:rFonts w:ascii="Times New Roman" w:hAnsi="Times New Roman"/>
          <w:b w:val="false"/>
          <w:i w:val="false"/>
          <w:color w:val="000000"/>
          <w:sz w:val="22"/>
        </w:rPr>
        <w:t>A refugee may receive assistance, if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prior to October 1, 2021, during the first eight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on or after October 1, 2021, and for whom eligibility for refugee cash assistance was determined on or before May 4, 2025, during the first 12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refugees who entered the country on or after October 1, 2021, and for whom eligibility for refugee cash assistance was determined on or after May 5, 2025, during the first four months the refugee is in the United States, beginning the month the refugee enters the country.</w:t>
      </w:r>
    </w:p>
    <w:p>
      <w:pPr>
        <w:spacing w:before="0" w:after="0"/>
        <w:ind w:left="120"/>
        <w:jc w:val="both"/>
      </w:pPr>
      <w:r>
        <w:rPr>
          <w:rFonts w:ascii="Times New Roman" w:hAnsi="Times New Roman"/>
          <w:b w:val="false"/>
          <w:i w:val="false"/>
          <w:color w:val="000000"/>
          <w:sz w:val="22"/>
        </w:rPr>
        <w:t>Exception: For asylees, the date of entry is the date asylum is granted. The 8-month, 12-month, or 4-month period of eligibility begins the month asylum is granted. A nonrefugee child in the home with a refugee parent (or refugee parents, if both are in the home) is eligible for assistance until the parent(s) has been in the United States for 8, 12, or 4 months, or until the child reaches 8, 12, or 4 months of age, whichever occurs first. For Afghan special immigrant (SI) parolees and Afghan SI conditional permanent residents (CPRs), the date is the date of “entry into the community,” which is the date the individual departed a safe haven. For Afghan humanitarian parolees, the date is the latter of October 1, 2021, or the date of entry into the community, which is the date the individual departed a safe haven. “Safe haven” is the term the U.S. government and other relevant stakeholders have used for U.S. military bases in the continental United States that housed Afghans evacuated under Operation Allies Refuge/Operation Allies Welcome (OAR/OAW) as Afghans awaited resettlement to their ultimate state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color w:val="000000"/>
          <w:sz w:val="22"/>
        </w:rPr>
        <w:t xml:space="preserve">Resources. </w:t>
      </w:r>
      <w:r>
        <w:rPr>
          <w:rFonts w:ascii="Times New Roman" w:hAnsi="Times New Roman"/>
          <w:b w:val="false"/>
          <w:i w:val="false"/>
          <w:color w:val="000000"/>
          <w:sz w:val="22"/>
        </w:rPr>
        <w:t>The resources of refugees excluded because of the 8-month, 12-month, or 4-month limit will be considered in the same manner as though these refugees were included in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eligible refugee group has income, the income will be diverted to meet the needs of the refugees ineligible because of the time limit who would otherwise have been included in the refugee assistance group as defined in subrule </w:t>
      </w:r>
      <w:r>
        <w:rPr>
          <w:rFonts w:ascii="Times New Roman" w:hAnsi="Times New Roman"/>
          <w:b w:val="false"/>
          <w:i w:val="false"/>
          <w:color w:val="000000"/>
          <w:sz w:val="22"/>
        </w:rPr>
        <w:t>60.5(4)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income of the refugees ineligible because of the time limit who would otherwise have been included in the assistance group as defined in subrule </w:t>
      </w:r>
      <w:r>
        <w:rPr>
          <w:rFonts w:ascii="Times New Roman" w:hAnsi="Times New Roman"/>
          <w:b w:val="false"/>
          <w:i w:val="false"/>
          <w:color w:val="000000"/>
          <w:sz w:val="22"/>
        </w:rPr>
        <w:t>60.5(4)</w:t>
      </w:r>
      <w:r>
        <w:rPr>
          <w:rFonts w:ascii="Times New Roman" w:hAnsi="Times New Roman"/>
          <w:b w:val="false"/>
          <w:i w:val="false"/>
          <w:color w:val="000000"/>
          <w:sz w:val="22"/>
        </w:rPr>
        <w:t>, will be used first to meet the needs of the ineligible group and then applied to the eligible group’s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need for the ineligible group is the difference between the needs of the group including the ineligible refugees and the needs of the group excluding the ineligible refugees. Any excess income will be applied to the needs of the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cash grant received by the applicant under the Department of State or the Department of Justice reception and placement programs will be disregarded as income and as a resource.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i w:val="false"/>
          <w:color w:val="000000"/>
          <w:sz w:val="16"/>
        </w:rPr>
        <w:t>ARC 9701C</w:t>
      </w:r>
      <w:r>
        <w:rPr>
          <w:rFonts w:ascii="Times New Roman" w:hAnsi="Times New Roman"/>
          <w:b w:val="false"/>
          <w:i w:val="false"/>
          <w:color w:val="000000"/>
          <w:sz w:val="16"/>
        </w:rPr>
        <w:t>, IAB 11/12/25, effective 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441—60.8</w:t>
      </w:r>
      <w:r>
        <w:rPr>
          <w:rFonts w:ascii="Times New Roman" w:hAnsi="Times New Roman"/>
          <w:b/>
          <w:i w:val="false"/>
          <w:color w:val="000000"/>
          <w:sz w:val="22"/>
        </w:rPr>
        <w:t xml:space="preserve">(217) </w:t>
      </w:r>
      <w:r>
        <w:rPr>
          <w:rFonts w:ascii="Times New Roman" w:hAnsi="Times New Roman"/>
          <w:b/>
          <w:i w:val="false"/>
          <w:color w:val="000000"/>
          <w:sz w:val="22"/>
        </w:rPr>
        <w:t xml:space="preserve">Criteria for exemption from registration for employment services, registration, and refusal to register. </w:t>
      </w:r>
      <w:r>
        <w:rPr>
          <w:rFonts w:ascii="Times New Roman" w:hAnsi="Times New Roman"/>
          <w:b w:val="false"/>
          <w:i w:val="false"/>
          <w:color w:val="000000"/>
          <w:sz w:val="22"/>
        </w:rPr>
        <w:t xml:space="preserve">Each refugee applying for or receiving cash assistance shall register for employment unless the department determines the refugee is exempt because of reasons listed in subrule </w:t>
      </w:r>
      <w:r>
        <w:rPr>
          <w:rFonts w:ascii="Times New Roman" w:hAnsi="Times New Roman"/>
          <w:b w:val="false"/>
          <w:i w:val="false"/>
          <w:color w:val="000000"/>
          <w:sz w:val="22"/>
        </w:rPr>
        <w:t>60.8(1)</w:t>
      </w:r>
      <w:r>
        <w:rPr>
          <w:rFonts w:ascii="Times New Roman" w:hAnsi="Times New Roman"/>
          <w:b w:val="false"/>
          <w:i w:val="false"/>
          <w:color w:val="000000"/>
          <w:sz w:val="22"/>
        </w:rPr>
        <w:t>. Inability to communicate in English does not exempt a refugee from registration for employment services, participation in employability service programs and acceptance of appropriate offers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following refugees are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refugee who is under the age of 16; or who is aged 16 but under the age of 18 and attending elementary, secondary, or vocational or technical school full-time; or a refugee who is enrolled full-time in training approved by the local office as part of an approved employability plan; or a refugee 18 years of age who is a full-time student in a secondary school, or in the equivalent level of vocational or technical training, and reasonably expected to complete the program before reaching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refugee will be considered as attending school full time when enrolled or accepted full time (as certified by the school or institute attended) in a school or training leading to a certificate or diploma. Correspondence school is not an allowable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refugee also will be considered in regular attendance in months when the refugee is not attending because of an official school or training program, vacation, illness, convalescence, or family emergency. A refugee meets the definition of regular school attendance until the refugee has been officially dropped from the school rolls.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the refugee’s education is temporarily interrupted pending adjustment of the education or training program, assistance will be continued for a reasonable period of time to complete the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refugee aged 65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refugee who is caring for another member of the household who has a physical or mental impairment that requires, as determined by a physician or licensed or certified psychologist and verified by the department, care in the home on a substantially continuous basis, and no other appropriate member of the household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woman who is pregnant if it has been medically verified that the child is expected to be born in the month in which registration would otherwise be required or within the next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parent or other caretaker relative of a child under the age of three who personally provides full-time care for the child with only very brief and infrequent absences from the child. Only one parent or other caretaker relative in a case may be exempt under this paragraph. “Brief and infrequent absence” means short-term absences that do not reoccur on a regular basis. Any involvement by the parent employed less than 129 hours per month or attending school less than full-time, as defined by the school, will be considered brief and infrequent. Recreational activities and vacations by the parent or child that result in the parent being absent from the child will be considered brief and infrequent.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refugee who is working at least 30 hours a week in unsubsidized employment expected to last a minimum of 30 days. This exemption continues to apply if there is a temporary break in full-time employment expected to last no longer than ten workdays.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refugee who is ill, when determined by the department on the basis of medical evidence or another sound basis that the illness or injury is serious enough to temporarily prevent entry into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refugee who is incapacitated, when determined by a physician or licensed or certified psychologist and verified by the department, that a physical or mental impairment, by itself or in conjunction with age, prevents the refugee from engaging in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A refugee not exempt under subrule </w:t>
      </w:r>
      <w:r>
        <w:rPr>
          <w:rFonts w:ascii="Times New Roman" w:hAnsi="Times New Roman"/>
          <w:b w:val="false"/>
          <w:i w:val="false"/>
          <w:color w:val="000000"/>
          <w:sz w:val="22"/>
        </w:rPr>
        <w:t>60.8(1)</w:t>
      </w:r>
      <w:r>
        <w:rPr>
          <w:rFonts w:ascii="Times New Roman" w:hAnsi="Times New Roman"/>
          <w:b w:val="false"/>
          <w:i w:val="false"/>
          <w:color w:val="000000"/>
          <w:sz w:val="22"/>
        </w:rPr>
        <w:t xml:space="preserve"> will be considered an employable refugee. An employable refugee shall register with the department of workforce development and, within 30 days of receipt of aid, participate in the employment services provided by the bureau of refugee services. The department does permit, but does not mandate, the voluntary registration for employment services of any applicant or recipient of refugee cash assistance who is exempt under the provisions of this rule. If a voluntary registrant fails or refuses to participate in appropriate employability services, to carry out job search, or to accept an appropriate offer of employment, the bureau of refugee services may de-register the refugee for up to 90 days from the date of determination that failure or refusal has occurred, but the refugee’s cash assistance will not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color w:val="000000"/>
          <w:sz w:val="22"/>
        </w:rPr>
        <w:t xml:space="preserve">Refusal to register.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applicant refugee who refuses or fails to cooperate in accepting a referral to the department of workforce development or the bureau of refugee services, refuses or fails to appear at the department of workforce development office for registration, or refuses or fails to mail or deliver the registration form to the bureau of refugee services, will be denied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Assistance for an employable recipient refugee will be terminated when the refugee refuses or fails to register with the department of workforce development or the bureau of refugee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441—60.9</w:t>
      </w:r>
      <w:r>
        <w:rPr>
          <w:rFonts w:ascii="Times New Roman" w:hAnsi="Times New Roman"/>
          <w:b/>
          <w:i w:val="false"/>
          <w:color w:val="000000"/>
          <w:sz w:val="22"/>
        </w:rPr>
        <w:t xml:space="preserve">(217) </w:t>
      </w:r>
      <w:r>
        <w:rPr>
          <w:rFonts w:ascii="Times New Roman" w:hAnsi="Times New Roman"/>
          <w:b/>
          <w:i w:val="false"/>
          <w:color w:val="000000"/>
          <w:sz w:val="22"/>
        </w:rPr>
        <w:t xml:space="preserve">Work and training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color w:val="000000"/>
          <w:sz w:val="22"/>
        </w:rPr>
        <w:t xml:space="preserve">Standards applicable to both work and training assignments. </w:t>
      </w:r>
      <w:r>
        <w:rPr>
          <w:rFonts w:ascii="Times New Roman" w:hAnsi="Times New Roman"/>
          <w:b w:val="false"/>
          <w:i w:val="false"/>
          <w:color w:val="000000"/>
          <w:sz w:val="22"/>
        </w:rPr>
        <w:t xml:space="preserve">The following standards must be met before an employable refugee can be required to accept a work or training assignment. A job offered, if determined appropriate under subrules </w:t>
      </w:r>
      <w:r>
        <w:rPr>
          <w:rFonts w:ascii="Times New Roman" w:hAnsi="Times New Roman"/>
          <w:b w:val="false"/>
          <w:i w:val="false"/>
          <w:color w:val="000000"/>
          <w:sz w:val="22"/>
        </w:rPr>
        <w:t>60.9(1)</w:t>
      </w:r>
      <w:r>
        <w:rPr>
          <w:rFonts w:ascii="Times New Roman" w:hAnsi="Times New Roman"/>
          <w:b w:val="false"/>
          <w:i w:val="false"/>
          <w:color w:val="000000"/>
          <w:sz w:val="22"/>
        </w:rPr>
        <w:t xml:space="preserve"> and </w:t>
      </w:r>
      <w:r>
        <w:rPr>
          <w:rFonts w:ascii="Times New Roman" w:hAnsi="Times New Roman"/>
          <w:b w:val="false"/>
          <w:i w:val="false"/>
          <w:color w:val="000000"/>
          <w:sz w:val="22"/>
        </w:rPr>
        <w:t>60.9(2)</w:t>
      </w:r>
      <w:r>
        <w:rPr>
          <w:rFonts w:ascii="Times New Roman" w:hAnsi="Times New Roman"/>
          <w:b w:val="false"/>
          <w:i w:val="false"/>
          <w:color w:val="000000"/>
          <w:sz w:val="22"/>
        </w:rPr>
        <w:t>, is required to be accepted by the refugee without regard to whether the job would interrupt a program of services planned or in progress unless the refugee is currently participating in a program in progress of on-the-job training or vocational training approved as part of an individual’s employability plan or the refugee is enrolled full-time in a professional recertification program approved as part of an individual’s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job or training referral must be related to the physical and mental capability of the person to perform the task on a regular basis. Any claim of adverse effect on physical or mental health will be based on adequate medical testimony from a physician or licensed or certified psychologist indicating that participation would impair the person’s physical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daily commuting time to and from home to the work or training site to which the person is referred shall not normally exceed two hours, not including the transporting of a child to and from a child care facility, unless a longer commuting distance and time is generally accepted in the community, in which case the round trip commuting time shall not exceed the generally accepted community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or training site to which the person is referred must not be in violation of applicable federal, state, and local health and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shall not be made that are discriminatory in terms of age, sex, race, creed, color, or national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child care is required, the child care must meet state licensing or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Available manpower statistics for a local area must indicate adequate employment potential for persons obtaining the given training. The employment must also meet the other appropriate work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work or training assignment must be within the scope of the refugee’s employability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quality of training must meet local employers’ requirements so that the refugee will be in a competitive position within the local labor market. The training must also be likely to lead to employment that will meet the appropriate work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a refugee is a professional in need of professional refresher training and other recertification services in order to qualify to practice the refugee’s profession in the United States, the training may consist of full-time attendance in a college or professional training program, provided that the training is approved by the department as a part of the refugee’s employability plan; it does not exceed one year’s duration (including any time enrolled in the program in the United States prior to the refugee’s application for assistance); it is specifically intended to assist the professional in becoming relicensed in the refugee’s profession; and, if completed, it can realistically be expected to result in relicensing.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color w:val="000000"/>
          <w:sz w:val="22"/>
        </w:rPr>
        <w:t xml:space="preserve">Appropriate work requirements. </w:t>
      </w:r>
      <w:r>
        <w:rPr>
          <w:rFonts w:ascii="Times New Roman" w:hAnsi="Times New Roman"/>
          <w:b w:val="false"/>
          <w:i w:val="false"/>
          <w:color w:val="000000"/>
          <w:sz w:val="22"/>
        </w:rPr>
        <w:t>The local office, in making a determination of appropriate work, shall utilize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Appropriate work may be temporary, permanent, full-time, part-time, or seasonal work if it meets the other work standards defined in subrule </w:t>
      </w:r>
      <w:r>
        <w:rPr>
          <w:rFonts w:ascii="Times New Roman" w:hAnsi="Times New Roman"/>
          <w:b w:val="false"/>
          <w:i w:val="false"/>
          <w:color w:val="000000"/>
          <w:sz w:val="22"/>
        </w:rPr>
        <w:t>60.9(1)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wage shall meet or exceed the federal or state minimum wage law, whichever is applicable, or if these laws are not applicable, the wage shall not be less favorable than the wage normally paid for similar work in that labor market but in no event shall it be less than three-fourths of the minimum wage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daily hours of work and the weekly hours of work shall not exceed those customary to the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be required to accept employment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position offered is vacant due to a strike, lockout, or other bona fide labor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would be required to work for an employer contrary to the conditions of the person’s existing membership in the union governing that occupation. However, employment not governed by the rules of a union in which the person has membership may be deemed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color w:val="000000"/>
          <w:sz w:val="22"/>
        </w:rPr>
        <w:t xml:space="preserve">Development of an individual employability plan. </w:t>
      </w:r>
      <w:r>
        <w:rPr>
          <w:rFonts w:ascii="Times New Roman" w:hAnsi="Times New Roman"/>
          <w:b w:val="false"/>
          <w:i w:val="false"/>
          <w:color w:val="000000"/>
          <w:sz w:val="22"/>
        </w:rPr>
        <w:t xml:space="preserve">An individual employability plan will be developed as a part of a family self-sufficiency plan where applicable for each recipient of refugee cash assistance in a filing unit who is not exempt under subrule </w:t>
      </w:r>
      <w:r>
        <w:rPr>
          <w:rFonts w:ascii="Times New Roman" w:hAnsi="Times New Roman"/>
          <w:b w:val="false"/>
          <w:i w:val="false"/>
          <w:color w:val="000000"/>
          <w:sz w:val="22"/>
        </w:rPr>
        <w:t>60.8(1)</w:t>
      </w:r>
      <w:r>
        <w:rPr>
          <w:rFonts w:ascii="Times New Roman" w:hAnsi="Times New Roman"/>
          <w:b w:val="false"/>
          <w:i w:val="false"/>
          <w:color w:val="000000"/>
          <w:sz w:val="22"/>
        </w:rPr>
        <w:t>. The individual employability plan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designed to lead to the earliest possible employment and not be structured in such a way as to discourage or delay employment or job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definite employment goal, attainable in the shortest time period consistent with the employability of the refugee in relation to job openings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color w:val="000000"/>
          <w:sz w:val="22"/>
        </w:rPr>
        <w:t xml:space="preserve">Job search requirements. </w:t>
      </w:r>
      <w:r>
        <w:rPr>
          <w:rFonts w:ascii="Times New Roman" w:hAnsi="Times New Roman"/>
          <w:b w:val="false"/>
          <w:i w:val="false"/>
          <w:color w:val="000000"/>
          <w:sz w:val="22"/>
        </w:rPr>
        <w:t>The department will mandate job search for employable refugees where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employable recipient of refugee cash assistance shall carry out a job search program beginning at any time mandated by the bureau of refugee services. The bureau of refugee services will require the job search program to begin no later than six months after the refugee entered the United States or at the time the refugee is determined eligible for refugee cash assistance, if the refugee has completed at least six months in the United States at the time of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job search program shall continue for at least eight consecutive weeks and shall meet requirements that the bureau of refugee services determines appropriate, including the amount of time to be devoted to employer contacts per week or the number of employer contacts mandated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and carry out the procedures it considers necessary to ensure that mandates for participation in job search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color w:val="000000"/>
          <w:sz w:val="22"/>
        </w:rPr>
        <w:t xml:space="preserve">Failure or refusal to accept employability services or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refugee is exempt as described at rule </w:t>
      </w:r>
      <w:hyperlink r:id="rId19">
        <w:r>
          <w:rPr>
            <w:rStyle w:val="Hyperlink"/>
            <w:rFonts w:ascii="Times New Roman" w:hAnsi="Times New Roman"/>
            <w:b w:val="false"/>
            <w:i w:val="false"/>
            <w:color w:val="000000"/>
            <w:sz w:val="22"/>
          </w:rPr>
          <w:t>441—60.8</w:t>
        </w:r>
      </w:hyperlink>
      <w:r>
        <w:rPr>
          <w:rFonts w:ascii="Times New Roman" w:hAnsi="Times New Roman"/>
          <w:b w:val="false"/>
          <w:i w:val="false"/>
          <w:color w:val="000000"/>
          <w:sz w:val="22"/>
        </w:rPr>
        <w:t>(217), the department will terminate assistance when an employable recipient of refugee cash assistance has failed or refused to comply with any of the following requirements without good cause. The refugee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Register for employment with the department of workforce development and, within 30 days of receipt of cash assistance, participate in employment services provided by the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Apply for or accept an offer of employment meeting the standards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Carry out job 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Go to a job interview arranged by the department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Participate in an employability service program that is determined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Not voluntarily quit a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Participate in a social service or targeted assistance program that the department determines to be available and appropriate for that refugee.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of proposed action to terminate, discontinue, suspend, or reduce assistance, the department will give timely and adequate notice, following the same procedures as those used in the family investment program. The written notice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the reason for the action and the consequences of failure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refugee’s right to file an appeal with the department. The department will determine whether a hearing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first refusal or failure the refugee will be sanctioned for three payment months. Subsequent refusals or failures will result in a six-payment month sanction for each refusal or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sanctioned individual is the only member of the filing unit, the assistance will be terminated. If the filing unit includes other members, the department will not take into account the sanctioned individual’s needs in determining the filing unit’s need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conciliation period prior to the imposition of sanctions must be provided for in accordance with the following time limitations. The conciliation effort will begin as soon as possible, but no later than 10 days following the date of failure or refusal to participate, and may continue for a period not to exceed 30 days. Either the department or the recipient may terminate this period sooner when either believes that the dispute cannot be resolved by conciliation.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441—60.10</w:t>
      </w:r>
      <w:r>
        <w:rPr>
          <w:rFonts w:ascii="Times New Roman" w:hAnsi="Times New Roman"/>
          <w:b/>
          <w:i w:val="false"/>
          <w:color w:val="000000"/>
          <w:sz w:val="22"/>
        </w:rPr>
        <w:t xml:space="preserve">(217) </w:t>
      </w:r>
      <w:r>
        <w:rPr>
          <w:rFonts w:ascii="Times New Roman" w:hAnsi="Times New Roman"/>
          <w:b/>
          <w:i w:val="false"/>
          <w:color w:val="000000"/>
          <w:sz w:val="22"/>
        </w:rPr>
        <w:t xml:space="preserve">Uncategorized factors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Duplication of assistance. </w:t>
      </w:r>
      <w:r>
        <w:rPr>
          <w:rFonts w:ascii="Times New Roman" w:hAnsi="Times New Roman"/>
          <w:b w:val="false"/>
          <w:i w:val="false"/>
          <w:color w:val="000000"/>
          <w:sz w:val="22"/>
        </w:rPr>
        <w:t>A refugee whose needs are included in a refugee cash assistance grant will not concurrently receive a grant under any other public assistance program administered by the department. Neither will a recipient concurrently receive a grant from a public assistance program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Contracts for support. </w:t>
      </w:r>
      <w:r>
        <w:rPr>
          <w:rFonts w:ascii="Times New Roman" w:hAnsi="Times New Roman"/>
          <w:b w:val="false"/>
          <w:i w:val="false"/>
          <w:color w:val="000000"/>
          <w:sz w:val="22"/>
        </w:rPr>
        <w:t>A person entitled to total support under the terms of an enforceable contract is not eligible to receive refugee cash assistance when the other party, obligated to provide the support, is able to fulfill that part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Participation in a strike.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spouse and children will be ineligible for assistance for any month in which the other spouse or parent is participating in a strike on the last day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will be ineligible for assistance for any month in which the person is participating in a strike on the last day of that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Definitions of a strike and participating in a strike are defined in </w:t>
      </w:r>
      <w:hyperlink r:id="rId20">
        <w:r>
          <w:rPr>
            <w:rStyle w:val="Hyperlink"/>
            <w:rFonts w:ascii="Times New Roman" w:hAnsi="Times New Roman"/>
            <w:b w:val="false"/>
            <w:i w:val="false"/>
            <w:color w:val="000000"/>
            <w:sz w:val="22"/>
          </w:rPr>
          <w:t>441—paragraph 41.25(5)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color w:val="000000"/>
          <w:sz w:val="22"/>
        </w:rPr>
        <w:t xml:space="preserve">Restrictions. </w:t>
      </w:r>
      <w:r>
        <w:rPr>
          <w:rFonts w:ascii="Times New Roman" w:hAnsi="Times New Roman"/>
          <w:b w:val="false"/>
          <w:i w:val="false"/>
          <w:color w:val="000000"/>
          <w:sz w:val="22"/>
        </w:rPr>
        <w:t xml:space="preserve">Restrictions found in </w:t>
      </w:r>
      <w:hyperlink r:id="rId21">
        <w:r>
          <w:rPr>
            <w:rStyle w:val="Hyperlink"/>
            <w:rFonts w:ascii="Times New Roman" w:hAnsi="Times New Roman"/>
            <w:b w:val="false"/>
            <w:i w:val="false"/>
            <w:color w:val="000000"/>
            <w:sz w:val="22"/>
          </w:rPr>
          <w:t>441—subrule 41.25(11)</w:t>
        </w:r>
      </w:hyperlink>
      <w:r>
        <w:rPr>
          <w:rFonts w:ascii="Times New Roman" w:hAnsi="Times New Roman"/>
          <w:b w:val="false"/>
          <w:i w:val="false"/>
          <w:color w:val="000000"/>
          <w:sz w:val="22"/>
        </w:rPr>
        <w:t xml:space="preserve"> apply to benefits issued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441—60.11</w:t>
      </w:r>
      <w:r>
        <w:rPr>
          <w:rFonts w:ascii="Times New Roman" w:hAnsi="Times New Roman"/>
          <w:b/>
          <w:i w:val="false"/>
          <w:color w:val="000000"/>
          <w:sz w:val="22"/>
        </w:rPr>
        <w:t xml:space="preserve">(217) </w:t>
      </w:r>
      <w:r>
        <w:rPr>
          <w:rFonts w:ascii="Times New Roman" w:hAnsi="Times New Roman"/>
          <w:b/>
          <w:i w:val="false"/>
          <w:color w:val="000000"/>
          <w:sz w:val="22"/>
        </w:rPr>
        <w:t xml:space="preserve">Temporary absence from home. </w:t>
      </w:r>
      <w:r>
        <w:rPr>
          <w:rFonts w:ascii="Times New Roman" w:hAnsi="Times New Roman"/>
          <w:b w:val="false"/>
          <w:i w:val="false"/>
          <w:color w:val="000000"/>
          <w:sz w:val="22"/>
        </w:rPr>
        <w:t xml:space="preserve">Temporary absence from home is defined in </w:t>
      </w:r>
      <w:hyperlink r:id="rId22">
        <w:r>
          <w:rPr>
            <w:rStyle w:val="Hyperlink"/>
            <w:rFonts w:ascii="Times New Roman" w:hAnsi="Times New Roman"/>
            <w:b w:val="false"/>
            <w:i w:val="false"/>
            <w:color w:val="000000"/>
            <w:sz w:val="22"/>
          </w:rPr>
          <w:t>441—subrule 41.23(3)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441—60.12</w:t>
      </w:r>
      <w:r>
        <w:rPr>
          <w:rFonts w:ascii="Times New Roman" w:hAnsi="Times New Roman"/>
          <w:b/>
          <w:i w:val="false"/>
          <w:color w:val="000000"/>
          <w:sz w:val="22"/>
        </w:rPr>
        <w:t xml:space="preserve">(217) </w:t>
      </w:r>
      <w:r>
        <w:rPr>
          <w:rFonts w:ascii="Times New Roman" w:hAnsi="Times New Roman"/>
          <w:b/>
          <w:i w:val="false"/>
          <w:color w:val="000000"/>
          <w:sz w:val="22"/>
        </w:rPr>
        <w:t xml:space="preserve">Application. </w:t>
      </w:r>
      <w:r>
        <w:rPr>
          <w:rFonts w:ascii="Times New Roman" w:hAnsi="Times New Roman"/>
          <w:b w:val="false"/>
          <w:i w:val="false"/>
          <w:color w:val="000000"/>
          <w:sz w:val="22"/>
        </w:rPr>
        <w:t xml:space="preserve">The application will be processed as defined in rule </w:t>
      </w:r>
      <w:hyperlink r:id="rId23">
        <w:r>
          <w:rPr>
            <w:rStyle w:val="Hyperlink"/>
            <w:rFonts w:ascii="Times New Roman" w:hAnsi="Times New Roman"/>
            <w:b w:val="false"/>
            <w:i w:val="false"/>
            <w:color w:val="000000"/>
            <w:sz w:val="22"/>
          </w:rPr>
          <w:t>441—40.22</w:t>
        </w:r>
      </w:hyperlink>
      <w:r>
        <w:rPr>
          <w:rFonts w:ascii="Times New Roman" w:hAnsi="Times New Roman"/>
          <w:b w:val="false"/>
          <w:i w:val="false"/>
          <w:color w:val="000000"/>
          <w:sz w:val="22"/>
        </w:rPr>
        <w:t>(239B).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441—60.13</w:t>
      </w:r>
      <w:r>
        <w:rPr>
          <w:rFonts w:ascii="Times New Roman" w:hAnsi="Times New Roman"/>
          <w:b/>
          <w:i w:val="false"/>
          <w:color w:val="000000"/>
          <w:sz w:val="22"/>
        </w:rPr>
        <w:t xml:space="preserve">(217) </w:t>
      </w:r>
      <w:r>
        <w:rPr>
          <w:rFonts w:ascii="Times New Roman" w:hAnsi="Times New Roman"/>
          <w:b/>
          <w:i w:val="false"/>
          <w:color w:val="000000"/>
          <w:sz w:val="22"/>
        </w:rPr>
        <w:t xml:space="preserve">Continuing eligibility. </w:t>
      </w:r>
      <w:r>
        <w:rPr>
          <w:rFonts w:ascii="Times New Roman" w:hAnsi="Times New Roman"/>
          <w:b w:val="false"/>
          <w:i w:val="false"/>
          <w:color w:val="000000"/>
          <w:sz w:val="22"/>
        </w:rPr>
        <w:t xml:space="preserve">Continuing eligibility will be determined as defined in rule </w:t>
      </w:r>
      <w:hyperlink r:id="rId24">
        <w:r>
          <w:rPr>
            <w:rStyle w:val="Hyperlink"/>
            <w:rFonts w:ascii="Times New Roman" w:hAnsi="Times New Roman"/>
            <w:b w:val="false"/>
            <w:i w:val="false"/>
            <w:color w:val="000000"/>
            <w:sz w:val="22"/>
          </w:rPr>
          <w:t>441—40.27</w:t>
        </w:r>
      </w:hyperlink>
      <w:r>
        <w:rPr>
          <w:rFonts w:ascii="Times New Roman" w:hAnsi="Times New Roman"/>
          <w:b w:val="false"/>
          <w:i w:val="false"/>
          <w:color w:val="000000"/>
          <w:sz w:val="22"/>
        </w:rPr>
        <w:t>(239B),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441—60.14</w:t>
      </w:r>
      <w:r>
        <w:rPr>
          <w:rFonts w:ascii="Times New Roman" w:hAnsi="Times New Roman"/>
          <w:b/>
          <w:i w:val="false"/>
          <w:color w:val="000000"/>
          <w:sz w:val="22"/>
        </w:rPr>
        <w:t xml:space="preserve">(217) </w:t>
      </w:r>
      <w:r>
        <w:rPr>
          <w:rFonts w:ascii="Times New Roman" w:hAnsi="Times New Roman"/>
          <w:b/>
          <w:i w:val="false"/>
          <w:color w:val="000000"/>
          <w:sz w:val="22"/>
        </w:rPr>
        <w:t xml:space="preserve">Alternate payees. </w:t>
      </w:r>
      <w:r>
        <w:rPr>
          <w:rFonts w:ascii="Times New Roman" w:hAnsi="Times New Roman"/>
          <w:b w:val="false"/>
          <w:i w:val="false"/>
          <w:color w:val="000000"/>
          <w:sz w:val="22"/>
        </w:rPr>
        <w:t xml:space="preserve">Alternate payees are defined in </w:t>
      </w:r>
      <w:hyperlink r:id="rId25">
        <w:r>
          <w:rPr>
            <w:rStyle w:val="Hyperlink"/>
            <w:rFonts w:ascii="Times New Roman" w:hAnsi="Times New Roman"/>
            <w:b w:val="false"/>
            <w:i w:val="false"/>
            <w:color w:val="000000"/>
            <w:sz w:val="22"/>
          </w:rPr>
          <w:t>441—Chapter 40</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441—60.15</w:t>
      </w:r>
      <w:r>
        <w:rPr>
          <w:rFonts w:ascii="Times New Roman" w:hAnsi="Times New Roman"/>
          <w:b/>
          <w:i w:val="false"/>
          <w:color w:val="000000"/>
          <w:sz w:val="22"/>
        </w:rPr>
        <w:t xml:space="preserve">(217) </w:t>
      </w:r>
      <w:r>
        <w:rPr>
          <w:rFonts w:ascii="Times New Roman" w:hAnsi="Times New Roman"/>
          <w:b/>
          <w:i w:val="false"/>
          <w:color w:val="000000"/>
          <w:sz w:val="22"/>
        </w:rPr>
        <w:t xml:space="preserve">Payment. </w:t>
      </w:r>
      <w:r>
        <w:rPr>
          <w:rFonts w:ascii="Times New Roman" w:hAnsi="Times New Roman"/>
          <w:b w:val="false"/>
          <w:i w:val="false"/>
          <w:color w:val="000000"/>
          <w:sz w:val="22"/>
        </w:rPr>
        <w:t xml:space="preserve">Payment will be issued as defined in </w:t>
      </w:r>
      <w:hyperlink r:id="rId26">
        <w:r>
          <w:rPr>
            <w:rStyle w:val="Hyperlink"/>
            <w:rFonts w:ascii="Times New Roman" w:hAnsi="Times New Roman"/>
            <w:b w:val="false"/>
            <w:i w:val="false"/>
            <w:color w:val="000000"/>
            <w:sz w:val="22"/>
          </w:rPr>
          <w:t>441—Chapter 45</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441—60.16</w:t>
      </w:r>
      <w:r>
        <w:rPr>
          <w:rFonts w:ascii="Times New Roman" w:hAnsi="Times New Roman"/>
          <w:b/>
          <w:i w:val="false"/>
          <w:color w:val="000000"/>
          <w:sz w:val="22"/>
        </w:rPr>
        <w:t xml:space="preserve">(217) </w:t>
      </w:r>
      <w:r>
        <w:rPr>
          <w:rFonts w:ascii="Times New Roman" w:hAnsi="Times New Roman"/>
          <w:b/>
          <w:i w:val="false"/>
          <w:color w:val="000000"/>
          <w:sz w:val="22"/>
        </w:rPr>
        <w:t xml:space="preserve">Overpayment recovery. </w:t>
      </w:r>
      <w:r>
        <w:rPr>
          <w:rFonts w:ascii="Times New Roman" w:hAnsi="Times New Roman"/>
          <w:b w:val="false"/>
          <w:i w:val="false"/>
          <w:color w:val="000000"/>
          <w:sz w:val="22"/>
        </w:rPr>
        <w:t xml:space="preserve">Recovery of overpayments will be determined as defined in </w:t>
      </w:r>
      <w:hyperlink r:id="rId27">
        <w:r>
          <w:rPr>
            <w:rStyle w:val="Hyperlink"/>
            <w:rFonts w:ascii="Times New Roman" w:hAnsi="Times New Roman"/>
            <w:b w:val="false"/>
            <w:i w:val="false"/>
            <w:color w:val="000000"/>
            <w:sz w:val="22"/>
          </w:rPr>
          <w:t>441—Chapter 46</w:t>
        </w:r>
      </w:hyperlink>
      <w:r>
        <w:rPr>
          <w:rFonts w:ascii="Times New Roman" w:hAnsi="Times New Roman"/>
          <w:b w:val="false"/>
          <w:i w:val="false"/>
          <w:color w:val="000000"/>
          <w:sz w:val="22"/>
        </w:rPr>
        <w:t>, except that refugee cash assistance will be substituted for the family investment program whenever it appears.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9278C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217.6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9/5/86, Notice 6/18/86—published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5/13/88—published 6/1/88, effective 5/13/88]</w:t>
      </w:r>
    </w:p>
    <w:p>
      <w:pPr>
        <w:spacing w:before="0" w:after="0"/>
        <w:ind w:left="120"/>
        <w:jc w:val="center"/>
      </w:pPr>
      <w:r>
        <w:rPr>
          <w:rFonts w:ascii="Times New Roman" w:hAnsi="Times New Roman"/>
          <w:b w:val="false"/>
          <w:i w:val="false"/>
          <w:color w:val="000000"/>
          <w:sz w:val="21"/>
        </w:rPr>
        <w:t>[Filed without Notice 9/21/88—published 10/19/88, effective 12/1/88]</w:t>
      </w:r>
    </w:p>
    <w:p>
      <w:pPr>
        <w:spacing w:before="0" w:after="0"/>
        <w:ind w:left="120"/>
        <w:jc w:val="center"/>
      </w:pPr>
      <w:r>
        <w:rPr>
          <w:rFonts w:ascii="Times New Roman" w:hAnsi="Times New Roman"/>
          <w:b w:val="false"/>
          <w:i w:val="false"/>
          <w:color w:val="000000"/>
          <w:sz w:val="21"/>
        </w:rPr>
        <w:t>[Filed 5/10/89, Notice 4/5/89—published 5/31/89, effective 8/1/89]</w:t>
      </w:r>
    </w:p>
    <w:p>
      <w:pPr>
        <w:spacing w:before="0" w:after="0"/>
        <w:ind w:left="120"/>
        <w:jc w:val="center"/>
      </w:pPr>
      <w:r>
        <w:rPr>
          <w:rFonts w:ascii="Times New Roman" w:hAnsi="Times New Roman"/>
          <w:b w:val="false"/>
          <w:i w:val="false"/>
          <w:color w:val="000000"/>
          <w:sz w:val="21"/>
        </w:rPr>
        <w:t>[Filed emergency 9/18/91 after Notice 4/17/91—published 10/16/91, effective 10/1/91]</w:t>
      </w:r>
    </w:p>
    <w:p>
      <w:pPr>
        <w:spacing w:before="0" w:after="0"/>
        <w:ind w:left="120"/>
        <w:jc w:val="center"/>
      </w:pPr>
      <w:r>
        <w:rPr>
          <w:rFonts w:ascii="Times New Roman" w:hAnsi="Times New Roman"/>
          <w:b w:val="false"/>
          <w:i w:val="false"/>
          <w:color w:val="000000"/>
          <w:sz w:val="21"/>
        </w:rPr>
        <w:t>[Filed emergency 9/17/93—published 10/13/93, effective 10/1/93]</w:t>
      </w:r>
    </w:p>
    <w:p>
      <w:pPr>
        <w:spacing w:before="0" w:after="0"/>
        <w:ind w:left="120"/>
        <w:jc w:val="center"/>
      </w:pPr>
      <w:r>
        <w:rPr>
          <w:rFonts w:ascii="Times New Roman" w:hAnsi="Times New Roman"/>
          <w:b w:val="false"/>
          <w:i w:val="false"/>
          <w:color w:val="000000"/>
          <w:sz w:val="21"/>
        </w:rPr>
        <w:t>[Filed 12/16/93, Notice 10/13/93—published 1/5/94, effective 3/1/94]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9/25/95—published 10/11/95, effective 10/1/95]</w:t>
      </w:r>
    </w:p>
    <w:p>
      <w:pPr>
        <w:spacing w:before="0" w:after="0"/>
        <w:ind w:left="120"/>
        <w:jc w:val="center"/>
      </w:pPr>
      <w:r>
        <w:rPr>
          <w:rFonts w:ascii="Times New Roman" w:hAnsi="Times New Roman"/>
          <w:b w:val="false"/>
          <w:i w:val="false"/>
          <w:color w:val="000000"/>
          <w:sz w:val="21"/>
        </w:rPr>
        <w:t>[Filed 11/16/95, Notice 10/11/95—published 12/6/95, effective 2/1/96]</w:t>
      </w:r>
    </w:p>
    <w:p>
      <w:pPr>
        <w:spacing w:before="0" w:after="0"/>
        <w:ind w:left="120"/>
        <w:jc w:val="center"/>
      </w:pPr>
      <w:r>
        <w:rPr>
          <w:rFonts w:ascii="Times New Roman" w:hAnsi="Times New Roman"/>
          <w:b w:val="false"/>
          <w:i w:val="false"/>
          <w:color w:val="000000"/>
          <w:sz w:val="21"/>
        </w:rPr>
        <w:t>[Filed 2/14/96, Notice 12/20/95—published 3/13/96, effective 5/1/96]</w:t>
      </w:r>
    </w:p>
    <w:p>
      <w:pPr>
        <w:spacing w:before="0" w:after="0"/>
        <w:ind w:left="120"/>
        <w:jc w:val="center"/>
      </w:pPr>
      <w:r>
        <w:rPr>
          <w:rFonts w:ascii="Times New Roman" w:hAnsi="Times New Roman"/>
          <w:b w:val="false"/>
          <w:i w:val="false"/>
          <w:color w:val="000000"/>
          <w:sz w:val="21"/>
        </w:rPr>
        <w:t>[Filed 8/15/96, Notice 5/8/96—published 9/11/96, effective 11/1/96]</w:t>
      </w:r>
    </w:p>
    <w:p>
      <w:pPr>
        <w:spacing w:before="0" w:after="0"/>
        <w:ind w:left="120"/>
        <w:jc w:val="center"/>
      </w:pPr>
      <w:r>
        <w:rPr>
          <w:rFonts w:ascii="Times New Roman" w:hAnsi="Times New Roman"/>
          <w:b w:val="false"/>
          <w:i w:val="false"/>
          <w:color w:val="000000"/>
          <w:sz w:val="21"/>
        </w:rPr>
        <w:t>[Filed emergency 9/12/00—published 10/4/00, effective 10/1/00]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10/4/00—published 11/29/00, effective 2/1/01]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8/12/05, Notice 6/8/05—published 8/31/05, effective 11/1/05]</w:t>
      </w:r>
    </w:p>
    <w:p>
      <w:pPr>
        <w:spacing w:before="0" w:after="0"/>
        <w:ind w:left="120"/>
        <w:jc w:val="center"/>
      </w:pPr>
      <w:r>
        <w:rPr>
          <w:rFonts w:ascii="Times New Roman" w:hAnsi="Times New Roman"/>
          <w:b w:val="false"/>
          <w:i w:val="false"/>
          <w:color w:val="000000"/>
          <w:sz w:val="21"/>
        </w:rPr>
        <w:t>[Filed ARC 1207C</w:t>
      </w:r>
      <w:r>
        <w:rPr>
          <w:rFonts w:ascii="Times New Roman" w:hAnsi="Times New Roman"/>
          <w:b w:val="false"/>
          <w:i w:val="false"/>
          <w:color w:val="000000"/>
          <w:sz w:val="21"/>
        </w:rPr>
        <w:t xml:space="preserve"> (Notice ARC 1001C,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6496C</w:t>
      </w:r>
      <w:r>
        <w:rPr>
          <w:rFonts w:ascii="Times New Roman" w:hAnsi="Times New Roman"/>
          <w:b w:val="false"/>
          <w:i w:val="false"/>
          <w:color w:val="000000"/>
          <w:sz w:val="21"/>
        </w:rPr>
        <w:t xml:space="preserve"> (Notice ARC 6369C, IAB 6/15/22)</w:t>
      </w:r>
      <w:r>
        <w:rPr>
          <w:rFonts w:ascii="Times New Roman" w:hAnsi="Times New Roman"/>
          <w:b w:val="false"/>
          <w:i w:val="false"/>
          <w:color w:val="000000"/>
          <w:sz w:val="21"/>
        </w:rPr>
        <w:t>, IAB 9/7/22, effective 11/1/22]</w:t>
      </w:r>
    </w:p>
    <w:p>
      <w:pPr>
        <w:spacing w:before="0" w:after="0"/>
        <w:ind w:left="120"/>
        <w:jc w:val="center"/>
      </w:pPr>
      <w:r>
        <w:rPr>
          <w:rFonts w:ascii="Times New Roman" w:hAnsi="Times New Roman"/>
          <w:b w:val="false"/>
          <w:i w:val="false"/>
          <w:color w:val="000000"/>
          <w:sz w:val="21"/>
        </w:rPr>
        <w:t>[Filed ARC 9278C</w:t>
      </w:r>
      <w:r>
        <w:rPr>
          <w:rFonts w:ascii="Times New Roman" w:hAnsi="Times New Roman"/>
          <w:b w:val="false"/>
          <w:i w:val="false"/>
          <w:color w:val="000000"/>
          <w:sz w:val="21"/>
        </w:rPr>
        <w:t xml:space="preserve"> (Notice ARC 8524C, IAB 12/11/24)</w:t>
      </w:r>
      <w:r>
        <w:rPr>
          <w:rFonts w:ascii="Times New Roman" w:hAnsi="Times New Roman"/>
          <w:b w:val="false"/>
          <w:i w:val="false"/>
          <w:color w:val="000000"/>
          <w:sz w:val="21"/>
        </w:rPr>
        <w:t>, IAB 5/14/25, effective 7/1/25]</w:t>
      </w:r>
    </w:p>
    <w:p>
      <w:pPr>
        <w:spacing w:before="0" w:after="0"/>
        <w:ind w:left="120"/>
        <w:jc w:val="center"/>
      </w:pPr>
      <w:r>
        <w:rPr>
          <w:rFonts w:ascii="Times New Roman" w:hAnsi="Times New Roman"/>
          <w:b w:val="false"/>
          <w:i w:val="false"/>
          <w:color w:val="000000"/>
          <w:sz w:val="21"/>
        </w:rPr>
        <w:t>[Filed ARC 9701C</w:t>
      </w:r>
      <w:r>
        <w:rPr>
          <w:rFonts w:ascii="Times New Roman" w:hAnsi="Times New Roman"/>
          <w:b w:val="false"/>
          <w:i w:val="false"/>
          <w:color w:val="000000"/>
          <w:sz w:val="21"/>
        </w:rPr>
        <w:t xml:space="preserve"> (Notice ARC 9525C, IAB 9/3/25)</w:t>
      </w:r>
      <w:r>
        <w:rPr>
          <w:rFonts w:ascii="Times New Roman" w:hAnsi="Times New Roman"/>
          <w:b w:val="false"/>
          <w:i w:val="false"/>
          <w:color w:val="000000"/>
          <w:sz w:val="21"/>
        </w:rPr>
        <w:t>, IAB 11/12/25, effective 1/1/26]</w:t>
      </w:r>
    </w:p>
    <w:sectPr>
      <w:footerReference r:id="rId2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40.23.pdf" Type="http://schemas.openxmlformats.org/officeDocument/2006/relationships/hyperlink" Id="rId5"/>
    <Relationship TargetMode="External" Target="https://www.legis.iowa.gov/docs/iac/rule/441.40.24.pdf" Type="http://schemas.openxmlformats.org/officeDocument/2006/relationships/hyperlink" Id="rId6"/>
    <Relationship TargetMode="External" Target="https://www.legis.iowa.gov/docs/iac/rule/441.40.25.pdf" Type="http://schemas.openxmlformats.org/officeDocument/2006/relationships/hyperlink" Id="rId7"/>
    <Relationship TargetMode="External" Target="https://www.legis.iowa.gov/docs/iac/rule/441.40.26.pdf" Type="http://schemas.openxmlformats.org/officeDocument/2006/relationships/hyperlink" Id="rId8"/>
    <Relationship TargetMode="External" Target="https://www.legis.iowa.gov/docs/iac/chapter/441.40.pdf" Type="http://schemas.openxmlformats.org/officeDocument/2006/relationships/hyperlink" Id="rId9"/>
    <Relationship TargetMode="External" Target="https://www.legis.iowa.gov/docs/iac/chapter/441.41.pdf" Type="http://schemas.openxmlformats.org/officeDocument/2006/relationships/hyperlink" Id="rId10"/>
    <Relationship TargetMode="External" Target="https://www.legis.iowa.gov/docs/iac/rule/441.41.21.pdf" Type="http://schemas.openxmlformats.org/officeDocument/2006/relationships/hyperlink" Id="rId11"/>
    <Relationship TargetMode="External" Target="https://www.legis.iowa.gov/docs/iac/rule/441.41.21.pdf" Type="http://schemas.openxmlformats.org/officeDocument/2006/relationships/hyperlink" Id="rId12"/>
    <Relationship TargetMode="External" Target="https://www.legis.iowa.gov/docs/iac/rule/441.41.23.pdf" Type="http://schemas.openxmlformats.org/officeDocument/2006/relationships/hyperlink" Id="rId13"/>
    <Relationship TargetMode="External" Target="https://www.legis.iowa.gov/docs/iac/rule/441.41.22.pdf" Type="http://schemas.openxmlformats.org/officeDocument/2006/relationships/hyperlink" Id="rId14"/>
    <Relationship TargetMode="External" Target="https://www.legis.iowa.gov/docs/iac/rule/441.41.28.pdf" Type="http://schemas.openxmlformats.org/officeDocument/2006/relationships/hyperlink" Id="rId15"/>
    <Relationship TargetMode="External" Target="https://www.legis.iowa.gov/docs/iac/rule/441.40.21.pdf" Type="http://schemas.openxmlformats.org/officeDocument/2006/relationships/hyperlink" Id="rId16"/>
    <Relationship TargetMode="External" Target="https://www.legis.iowa.gov/docs/iac/rule/441.41.27.pdf" Type="http://schemas.openxmlformats.org/officeDocument/2006/relationships/hyperlink" Id="rId17"/>
    <Relationship TargetMode="External" Target="https://www.legis.iowa.gov/docs/iac/rule/441.41.26.pdf" Type="http://schemas.openxmlformats.org/officeDocument/2006/relationships/hyperlink" Id="rId18"/>
    <Relationship TargetMode="External" Target="https://www.legis.iowa.gov/docs/iac/rule/441.60.8.pdf" Type="http://schemas.openxmlformats.org/officeDocument/2006/relationships/hyperlink" Id="rId19"/>
    <Relationship TargetMode="External" Target="https://www.legis.iowa.gov/docs/iac/rule/441.41.25.pdf" Type="http://schemas.openxmlformats.org/officeDocument/2006/relationships/hyperlink" Id="rId20"/>
    <Relationship TargetMode="External" Target="https://www.legis.iowa.gov/docs/iac/rule/441.41.25.pdf" Type="http://schemas.openxmlformats.org/officeDocument/2006/relationships/hyperlink" Id="rId21"/>
    <Relationship TargetMode="External" Target="https://www.legis.iowa.gov/docs/iac/rule/441.41.23.pdf" Type="http://schemas.openxmlformats.org/officeDocument/2006/relationships/hyperlink" Id="rId22"/>
    <Relationship TargetMode="External" Target="https://www.legis.iowa.gov/docs/iac/rule/441.40.22.pdf" Type="http://schemas.openxmlformats.org/officeDocument/2006/relationships/hyperlink" Id="rId23"/>
    <Relationship TargetMode="External" Target="https://www.legis.iowa.gov/docs/iac/rule/441.40.27.pdf" Type="http://schemas.openxmlformats.org/officeDocument/2006/relationships/hyperlink" Id="rId24"/>
    <Relationship TargetMode="External" Target="https://www.legis.iowa.gov/docs/iac/chapter/441.40.pdf" Type="http://schemas.openxmlformats.org/officeDocument/2006/relationships/hyperlink" Id="rId25"/>
    <Relationship TargetMode="External" Target="https://www.legis.iowa.gov/docs/iac/chapter/441.45.pdf" Type="http://schemas.openxmlformats.org/officeDocument/2006/relationships/hyperlink" Id="rId26"/>
    <Relationship TargetMode="External" Target="https://www.legis.iowa.gov/docs/iac/chapter/441.46.pdf" Type="http://schemas.openxmlformats.org/officeDocument/2006/relationships/hyperlink" Id="rId27"/>
    <Relationship TargetMode="External" Target="https://www.legis.iowa.gov/docs/ico/chapter/217.6.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