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58</w:t>
      </w:r>
    </w:p>
    <w:p>
      <w:pPr>
        <w:spacing w:before="0" w:after="0"/>
        <w:ind w:left="120"/>
        <w:jc w:val="center"/>
      </w:pPr>
      <w:r>
        <w:rPr>
          <w:rFonts w:ascii="Times New Roman" w:hAnsi="Times New Roman"/>
          <w:b w:val="false"/>
          <w:i w:val="false"/>
          <w:color w:val="000000"/>
          <w:sz w:val="21"/>
        </w:rPr>
        <w:t>COMMUNITY SERVICES BLOCK GRANT (CSBG)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10/1/31</w:t>
      </w:r>
    </w:p>
    <w:p>
      <w:pPr>
        <w:spacing w:before="0" w:after="0"/>
        <w:ind w:left="120"/>
        <w:jc w:val="both"/>
      </w:pPr>
      <w:r>
        <w:rPr>
          <w:rFonts w:ascii="Times New Roman" w:hAnsi="Times New Roman"/>
          <w:b/>
          <w:i w:val="false"/>
          <w:color w:val="000000"/>
          <w:sz w:val="22"/>
        </w:rPr>
        <w:t>441—58.1</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unless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 action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“eligible entity”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organization that was officially recognized as a community action agency under the provisions of Section 673(1) of the CSBG Act and Iowa Code sections </w:t>
      </w:r>
      <w:hyperlink r:id="rId5">
        <w:r>
          <w:rPr>
            <w:rStyle w:val="Hyperlink"/>
            <w:rFonts w:ascii="Times New Roman" w:hAnsi="Times New Roman"/>
            <w:b w:val="false"/>
            <w:i w:val="false"/>
            <w:color w:val="000000"/>
            <w:sz w:val="22"/>
          </w:rPr>
          <w:t>216A.91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216A.93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“CSBG”</w:t>
      </w:r>
      <w:r>
        <w:rPr>
          <w:rFonts w:ascii="Times New Roman" w:hAnsi="Times New Roman"/>
          <w:b w:val="false"/>
          <w:i w:val="false"/>
          <w:color w:val="000000"/>
          <w:sz w:val="22"/>
        </w:rPr>
        <w:t> </w:t>
      </w:r>
      <w:r>
        <w:rPr>
          <w:rFonts w:ascii="Times New Roman" w:hAnsi="Times New Roman"/>
          <w:b w:val="false"/>
          <w:i w:val="false"/>
          <w:color w:val="000000"/>
          <w:sz w:val="22"/>
        </w:rPr>
        <w:t>means community services block grant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“CSBG Act”</w:t>
      </w:r>
      <w:r>
        <w:rPr>
          <w:rFonts w:ascii="Times New Roman" w:hAnsi="Times New Roman"/>
          <w:b w:val="false"/>
          <w:i w:val="false"/>
          <w:color w:val="000000"/>
          <w:sz w:val="22"/>
        </w:rPr>
        <w:t> </w:t>
      </w:r>
      <w:r>
        <w:rPr>
          <w:rFonts w:ascii="Times New Roman" w:hAnsi="Times New Roman"/>
          <w:b w:val="false"/>
          <w:i w:val="false"/>
          <w:color w:val="000000"/>
          <w:sz w:val="22"/>
        </w:rPr>
        <w:t>means the Omnibus Budget Reconciliation Act of 1981, PL 97-35, Title VI, Subtitle B, as amended to August 1, 2026. All references to the CSBG Act herein are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year”</w:t>
      </w:r>
      <w:r>
        <w:rPr>
          <w:rFonts w:ascii="Times New Roman" w:hAnsi="Times New Roman"/>
          <w:b w:val="false"/>
          <w:i w:val="false"/>
          <w:color w:val="000000"/>
          <w:sz w:val="22"/>
        </w:rPr>
        <w:t> </w:t>
      </w:r>
      <w:r>
        <w:rPr>
          <w:rFonts w:ascii="Times New Roman" w:hAnsi="Times New Roman"/>
          <w:b w:val="false"/>
          <w:i w:val="false"/>
          <w:color w:val="000000"/>
          <w:sz w:val="22"/>
        </w:rPr>
        <w:t>means the year beginning October 1 and ending the succeeding September 30. The program year is numbered for that year in which it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“Reduction”</w:t>
      </w:r>
      <w:r>
        <w:rPr>
          <w:rFonts w:ascii="Times New Roman" w:hAnsi="Times New Roman"/>
          <w:b w:val="false"/>
          <w:i w:val="false"/>
          <w:color w:val="000000"/>
          <w:sz w:val="22"/>
        </w:rPr>
        <w:t> </w:t>
      </w:r>
      <w:r>
        <w:rPr>
          <w:rFonts w:ascii="Times New Roman" w:hAnsi="Times New Roman"/>
          <w:b w:val="false"/>
          <w:i w:val="false"/>
          <w:color w:val="000000"/>
          <w:sz w:val="22"/>
        </w:rPr>
        <w:t>means funding reduced below the proportional share of funding the eligible entity received in the previous program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“Termination”</w:t>
      </w:r>
      <w:r>
        <w:rPr>
          <w:rFonts w:ascii="Times New Roman" w:hAnsi="Times New Roman"/>
          <w:b w:val="false"/>
          <w:i w:val="false"/>
          <w:color w:val="000000"/>
          <w:sz w:val="22"/>
        </w:rPr>
        <w:t> </w:t>
      </w:r>
      <w:r>
        <w:rPr>
          <w:rFonts w:ascii="Times New Roman" w:hAnsi="Times New Roman"/>
          <w:b w:val="false"/>
          <w:i w:val="false"/>
          <w:color w:val="000000"/>
          <w:sz w:val="22"/>
        </w:rPr>
        <w:t>means permanent withdrawal of the eligible entity’s authority to obligate funds before that authority would otherwise expire. If an eligible entity’s authority to obligate funds is terminated, no funds may be obligated by the eligible entity after the effective date of the 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441—58.2</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Purposes. </w:t>
      </w:r>
      <w:r>
        <w:rPr>
          <w:rFonts w:ascii="Times New Roman" w:hAnsi="Times New Roman"/>
          <w:b w:val="false"/>
          <w:i w:val="false"/>
          <w:color w:val="000000"/>
          <w:sz w:val="22"/>
        </w:rPr>
        <w:t>The CSBG as established by the CSBG Act provides assistance to states and local communities, working through a network of community action agencies and other neighborhood-based organizations, for the reduction of poverty, the revitalization of low-income communities, and the empowerment of low-income families and individuals in rural and urban areas to become self-sufficient.</w:t>
      </w:r>
    </w:p>
    <w:p>
      <w:pPr>
        <w:spacing w:before="0" w:after="0"/>
        <w:ind w:left="120"/>
        <w:jc w:val="both"/>
      </w:pPr>
      <w:r>
        <w:rPr>
          <w:rFonts w:ascii="Times New Roman" w:hAnsi="Times New Roman"/>
          <w:b w:val="false"/>
          <w:i w:val="false"/>
          <w:color w:val="000000"/>
          <w:sz w:val="22"/>
        </w:rPr>
        <w:t xml:space="preserve">Pursuant to Iowa Code section </w:t>
      </w:r>
      <w:hyperlink r:id="rId7">
        <w:r>
          <w:rPr>
            <w:rStyle w:val="Hyperlink"/>
            <w:rFonts w:ascii="Times New Roman" w:hAnsi="Times New Roman"/>
            <w:b w:val="false"/>
            <w:i w:val="false"/>
            <w:color w:val="000000"/>
            <w:sz w:val="22"/>
          </w:rPr>
          <w:t>216A.92</w:t>
        </w:r>
      </w:hyperlink>
      <w:r>
        <w:rPr>
          <w:rFonts w:ascii="Times New Roman" w:hAnsi="Times New Roman"/>
          <w:b w:val="false"/>
          <w:i w:val="false"/>
          <w:color w:val="000000"/>
          <w:sz w:val="22"/>
        </w:rPr>
        <w:t>, the department administers the community services block grant.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441—58.3</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Uses of funds. </w:t>
      </w:r>
      <w:r>
        <w:rPr>
          <w:rFonts w:ascii="Times New Roman" w:hAnsi="Times New Roman"/>
          <w:b w:val="false"/>
          <w:i w:val="false"/>
          <w:color w:val="000000"/>
          <w:sz w:val="22"/>
        </w:rPr>
        <w:t>The CSBG makes available to the state of Iowa funds to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58.3(1)</w:t>
      </w:r>
      <w:r>
        <w:rPr>
          <w:rFonts w:ascii="Times New Roman" w:hAnsi="Times New Roman"/>
          <w:b w:val="false"/>
          <w:i w:val="false"/>
          <w:color w:val="000000"/>
          <w:sz w:val="22"/>
        </w:rPr>
        <w:t> </w:t>
      </w:r>
      <w:r>
        <w:rPr>
          <w:rFonts w:ascii="Times New Roman" w:hAnsi="Times New Roman"/>
          <w:b w:val="false"/>
          <w:i w:val="false"/>
          <w:color w:val="000000"/>
          <w:sz w:val="22"/>
        </w:rPr>
        <w:t>To support the following activities that are designed to assist low-income families and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Removing obstacles and solving problems that block the achievement of self-sufficiency;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Securing and retaining meaningful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Attaining an adequate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Making better use of available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Obtaining and maintaining adequate housing and a suitable living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Obtaining emergency assistance through loans, grants, or other means to meet immediate and urgent family and individual needs;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Achieving greater participation in the affairs of the communities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58.3(2)</w:t>
      </w:r>
      <w:r>
        <w:rPr>
          <w:rFonts w:ascii="Times New Roman" w:hAnsi="Times New Roman"/>
          <w:b w:val="false"/>
          <w:i w:val="false"/>
          <w:color w:val="000000"/>
          <w:sz w:val="22"/>
        </w:rPr>
        <w:t> </w:t>
      </w:r>
      <w:r>
        <w:rPr>
          <w:rFonts w:ascii="Times New Roman" w:hAnsi="Times New Roman"/>
          <w:b w:val="false"/>
          <w:i w:val="false"/>
          <w:color w:val="000000"/>
          <w:sz w:val="22"/>
        </w:rPr>
        <w:t>To address the needs of youth in low-income communities through youth development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58.3(3)</w:t>
      </w:r>
      <w:r>
        <w:rPr>
          <w:rFonts w:ascii="Times New Roman" w:hAnsi="Times New Roman"/>
          <w:b w:val="false"/>
          <w:i w:val="false"/>
          <w:color w:val="000000"/>
          <w:sz w:val="22"/>
        </w:rPr>
        <w:t> </w:t>
      </w:r>
      <w:r>
        <w:rPr>
          <w:rFonts w:ascii="Times New Roman" w:hAnsi="Times New Roman"/>
          <w:b w:val="false"/>
          <w:i w:val="false"/>
          <w:color w:val="000000"/>
          <w:sz w:val="22"/>
        </w:rPr>
        <w:t>To make more effective use of, and to coordinate with, other programs related to the purposes of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441—58.4</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Apportionment 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58.4(1)</w:t>
      </w:r>
      <w:r>
        <w:rPr>
          <w:rFonts w:ascii="Times New Roman" w:hAnsi="Times New Roman"/>
          <w:b w:val="false"/>
          <w:i w:val="false"/>
          <w:color w:val="000000"/>
          <w:sz w:val="22"/>
        </w:rPr>
        <w:t> </w:t>
      </w:r>
      <w:r>
        <w:rPr>
          <w:rFonts w:ascii="Times New Roman" w:hAnsi="Times New Roman"/>
          <w:b w:val="false"/>
          <w:i/>
          <w:color w:val="000000"/>
          <w:sz w:val="22"/>
        </w:rPr>
        <w:t xml:space="preserve">Iowa apportionment. </w:t>
      </w:r>
      <w:r>
        <w:rPr>
          <w:rFonts w:ascii="Times New Roman" w:hAnsi="Times New Roman"/>
          <w:b w:val="false"/>
          <w:i w:val="false"/>
          <w:color w:val="000000"/>
          <w:sz w:val="22"/>
        </w:rPr>
        <w:t xml:space="preserve">There are appropriated to the department from the fund created by Iowa Code section </w:t>
      </w:r>
      <w:hyperlink r:id="rId8">
        <w:r>
          <w:rPr>
            <w:rStyle w:val="Hyperlink"/>
            <w:rFonts w:ascii="Times New Roman" w:hAnsi="Times New Roman"/>
            <w:b w:val="false"/>
            <w:i w:val="false"/>
            <w:color w:val="000000"/>
            <w:sz w:val="22"/>
          </w:rPr>
          <w:t>8.41(1)</w:t>
        </w:r>
      </w:hyperlink>
      <w:r>
        <w:rPr>
          <w:rFonts w:ascii="Times New Roman" w:hAnsi="Times New Roman"/>
          <w:b w:val="false"/>
          <w:i w:val="false"/>
          <w:color w:val="000000"/>
          <w:sz w:val="22"/>
        </w:rPr>
        <w:t xml:space="preserve"> funds to implement the CSBG as described in the CSBG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58.4(2)</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funds. </w:t>
      </w:r>
      <w:r>
        <w:rPr>
          <w:rFonts w:ascii="Times New Roman" w:hAnsi="Times New Roman"/>
          <w:b w:val="false"/>
          <w:i w:val="false"/>
          <w:color w:val="000000"/>
          <w:sz w:val="22"/>
        </w:rPr>
        <w:t xml:space="preserve">CSBG funds received according to subrule </w:t>
      </w:r>
      <w:hyperlink r:id="rId9">
        <w:r>
          <w:rPr>
            <w:rStyle w:val="Hyperlink"/>
            <w:rFonts w:ascii="Times New Roman" w:hAnsi="Times New Roman"/>
            <w:b w:val="false"/>
            <w:i w:val="false"/>
            <w:color w:val="000000"/>
            <w:sz w:val="22"/>
          </w:rPr>
          <w:t>58.4(1)</w:t>
        </w:r>
      </w:hyperlink>
      <w:r>
        <w:rPr>
          <w:rFonts w:ascii="Times New Roman" w:hAnsi="Times New Roman"/>
          <w:b w:val="false"/>
          <w:i w:val="false"/>
          <w:color w:val="000000"/>
          <w:sz w:val="22"/>
        </w:rPr>
        <w:t xml:space="preserve"> will be allocated to the department and eligible entities as provided by federal law and in accordance with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58.4(3)</w:t>
      </w:r>
      <w:r>
        <w:rPr>
          <w:rFonts w:ascii="Times New Roman" w:hAnsi="Times New Roman"/>
          <w:b w:val="false"/>
          <w:i w:val="false"/>
          <w:color w:val="000000"/>
          <w:sz w:val="22"/>
        </w:rPr>
        <w:t> </w:t>
      </w:r>
      <w:r>
        <w:rPr>
          <w:rFonts w:ascii="Times New Roman" w:hAnsi="Times New Roman"/>
          <w:b w:val="false"/>
          <w:i/>
          <w:color w:val="000000"/>
          <w:sz w:val="22"/>
        </w:rPr>
        <w:t xml:space="preserve">Poverty-level population. </w:t>
      </w:r>
      <w:r>
        <w:rPr>
          <w:rFonts w:ascii="Times New Roman" w:hAnsi="Times New Roman"/>
          <w:b w:val="false"/>
          <w:i w:val="false"/>
          <w:color w:val="000000"/>
          <w:sz w:val="22"/>
        </w:rPr>
        <w:t>The state will use U.S. census statistics to determine the poverty-level population in each community action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58.4(4)</w:t>
      </w:r>
      <w:r>
        <w:rPr>
          <w:rFonts w:ascii="Times New Roman" w:hAnsi="Times New Roman"/>
          <w:b w:val="false"/>
          <w:i w:val="false"/>
          <w:color w:val="000000"/>
          <w:sz w:val="22"/>
        </w:rPr>
        <w:t> </w:t>
      </w:r>
      <w:r>
        <w:rPr>
          <w:rFonts w:ascii="Times New Roman" w:hAnsi="Times New Roman"/>
          <w:b w:val="false"/>
          <w:i/>
          <w:color w:val="000000"/>
          <w:sz w:val="22"/>
        </w:rPr>
        <w:t xml:space="preserve">Local share. </w:t>
      </w:r>
      <w:r>
        <w:rPr>
          <w:rFonts w:ascii="Times New Roman" w:hAnsi="Times New Roman"/>
          <w:b w:val="false"/>
          <w:i w:val="false"/>
          <w:color w:val="000000"/>
          <w:sz w:val="22"/>
        </w:rPr>
        <w:t>There shall be no local share required under the CSBG.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441—58.5</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Eligibility requirements. </w:t>
      </w:r>
      <w:r>
        <w:rPr>
          <w:rFonts w:ascii="Times New Roman" w:hAnsi="Times New Roman"/>
          <w:b w:val="false"/>
          <w:i w:val="false"/>
          <w:color w:val="000000"/>
          <w:sz w:val="22"/>
        </w:rPr>
        <w:t>The eligibility requirements for an organization to receive and administer CSBG funds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58.5(1)</w:t>
      </w: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The organization must meet the definition of a “community action agency” as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58.5(2)</w:t>
      </w:r>
      <w:r>
        <w:rPr>
          <w:rFonts w:ascii="Times New Roman" w:hAnsi="Times New Roman"/>
          <w:b w:val="false"/>
          <w:i w:val="false"/>
          <w:color w:val="000000"/>
          <w:sz w:val="22"/>
        </w:rPr>
        <w:t> </w:t>
      </w:r>
      <w:r>
        <w:rPr>
          <w:rFonts w:ascii="Times New Roman" w:hAnsi="Times New Roman"/>
          <w:b w:val="false"/>
          <w:i/>
          <w:color w:val="000000"/>
          <w:sz w:val="22"/>
        </w:rPr>
        <w:t xml:space="preserve">Board composition. </w:t>
      </w:r>
      <w:r>
        <w:rPr>
          <w:rFonts w:ascii="Times New Roman" w:hAnsi="Times New Roman"/>
          <w:b w:val="false"/>
          <w:i w:val="false"/>
          <w:color w:val="000000"/>
          <w:sz w:val="22"/>
        </w:rPr>
        <w:t xml:space="preserve">A recognized community action agency shall be governed by a board of directors composed of at least nine members. The board membership shall follow the requirements in Iowa Code section </w:t>
      </w:r>
      <w:hyperlink r:id="rId10">
        <w:r>
          <w:rPr>
            <w:rStyle w:val="Hyperlink"/>
            <w:rFonts w:ascii="Times New Roman" w:hAnsi="Times New Roman"/>
            <w:b w:val="false"/>
            <w:i w:val="false"/>
            <w:color w:val="000000"/>
            <w:sz w:val="22"/>
          </w:rPr>
          <w:t>216A.94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441—58.6</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Community action plan. </w:t>
      </w:r>
      <w:r>
        <w:rPr>
          <w:rFonts w:ascii="Times New Roman" w:hAnsi="Times New Roman"/>
          <w:b w:val="false"/>
          <w:i w:val="false"/>
          <w:color w:val="000000"/>
          <w:sz w:val="22"/>
        </w:rPr>
        <w:t>All eligible entities shall submit a community action plan for the purpose of applying for CSBG funds. Community action plans must be outcome-based and antipoverty-focused and tie directly to the eligible entity’s community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58.6(1)</w:t>
      </w:r>
      <w:r>
        <w:rPr>
          <w:rFonts w:ascii="Times New Roman" w:hAnsi="Times New Roman"/>
          <w:b w:val="false"/>
          <w:i w:val="false"/>
          <w:color w:val="000000"/>
          <w:sz w:val="22"/>
        </w:rPr>
        <w:t> </w:t>
      </w:r>
      <w:r>
        <w:rPr>
          <w:rFonts w:ascii="Times New Roman" w:hAnsi="Times New Roman"/>
          <w:b w:val="false"/>
          <w:i/>
          <w:color w:val="000000"/>
          <w:sz w:val="22"/>
        </w:rPr>
        <w:t xml:space="preserve">Timing. </w:t>
      </w:r>
      <w:r>
        <w:rPr>
          <w:rFonts w:ascii="Times New Roman" w:hAnsi="Times New Roman"/>
          <w:b w:val="false"/>
          <w:i w:val="false"/>
          <w:color w:val="000000"/>
          <w:sz w:val="22"/>
        </w:rPr>
        <w:t xml:space="preserve">Eligible entities shall be informed in writing by the department of the due date for the community action plan and the amount of the eligible entities’ allocation in accordance with subrule </w:t>
      </w:r>
      <w:hyperlink r:id="rId11">
        <w:r>
          <w:rPr>
            <w:rStyle w:val="Hyperlink"/>
            <w:rFonts w:ascii="Times New Roman" w:hAnsi="Times New Roman"/>
            <w:b w:val="false"/>
            <w:i w:val="false"/>
            <w:color w:val="000000"/>
            <w:sz w:val="22"/>
          </w:rPr>
          <w:t>58.4(2)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department will provide instructions for preparing the community action plan to all eligible entities. In addition to other information specified in the instructions, the community action plan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Document the continuous use of the full federal model for the Results Oriented Management and Accountability cycle of assessment, planning, implementation, achievement of results, and evaluation for planning and administering the CSBG;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a budget that equals the amount of the eligible entity’s allocation;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a description of the service delivery system targeted to low-income individuals and families in the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a description of how linkages will be developed to fill identified gaps in the services through the provision of information, referrals, case management, and follow-up consultations;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a description of how CSBG funds will be coordinated with other public and private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description of how CSBG funds will be used to support innovative community and neighborhood-based initiatives related to the purposes in rule </w:t>
      </w:r>
      <w:hyperlink r:id="rId12">
        <w:r>
          <w:rPr>
            <w:rStyle w:val="Hyperlink"/>
            <w:rFonts w:ascii="Times New Roman" w:hAnsi="Times New Roman"/>
            <w:b w:val="false"/>
            <w:i w:val="false"/>
            <w:color w:val="000000"/>
            <w:sz w:val="22"/>
          </w:rPr>
          <w:t>441—58.2</w:t>
        </w:r>
      </w:hyperlink>
      <w:r>
        <w:rPr>
          <w:rFonts w:ascii="Times New Roman" w:hAnsi="Times New Roman"/>
          <w:b w:val="false"/>
          <w:i w:val="false"/>
          <w:color w:val="000000"/>
          <w:sz w:val="22"/>
        </w:rPr>
        <w:t>(216A,PL97-35);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Include outcome measures to be used to measure eligible entity performance in promoting self-sufficiency, family stability, and community revitalization.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58.6(3)</w:t>
      </w:r>
      <w:r>
        <w:rPr>
          <w:rFonts w:ascii="Times New Roman" w:hAnsi="Times New Roman"/>
          <w:b w:val="false"/>
          <w:i w:val="false"/>
          <w:color w:val="000000"/>
          <w:sz w:val="22"/>
        </w:rPr>
        <w:t> </w:t>
      </w:r>
      <w:r>
        <w:rPr>
          <w:rFonts w:ascii="Times New Roman" w:hAnsi="Times New Roman"/>
          <w:b w:val="false"/>
          <w:i/>
          <w:color w:val="000000"/>
          <w:sz w:val="22"/>
        </w:rPr>
        <w:t xml:space="preserve">Nondiscrimination provisions. </w:t>
      </w:r>
      <w:r>
        <w:rPr>
          <w:rFonts w:ascii="Times New Roman" w:hAnsi="Times New Roman"/>
          <w:b w:val="false"/>
          <w:i w:val="false"/>
          <w:color w:val="000000"/>
          <w:sz w:val="22"/>
        </w:rPr>
        <w:t>Eligible entities must ensure that no person shall, on the basis of race, color, national origin, sex, age, or disability, be excluded from participation in, be denied the benefits of, or be subjected to discrimination under any activity funded in whole or in part with CSBG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58.6(4)</w:t>
      </w:r>
      <w:r>
        <w:rPr>
          <w:rFonts w:ascii="Times New Roman" w:hAnsi="Times New Roman"/>
          <w:b w:val="false"/>
          <w:i w:val="false"/>
          <w:color w:val="000000"/>
          <w:sz w:val="22"/>
        </w:rPr>
        <w:t> </w:t>
      </w:r>
      <w:r>
        <w:rPr>
          <w:rFonts w:ascii="Times New Roman" w:hAnsi="Times New Roman"/>
          <w:b w:val="false"/>
          <w:i/>
          <w:color w:val="000000"/>
          <w:sz w:val="22"/>
        </w:rPr>
        <w:t xml:space="preserve">Community assessment. </w:t>
      </w:r>
      <w:r>
        <w:rPr>
          <w:rFonts w:ascii="Times New Roman" w:hAnsi="Times New Roman"/>
          <w:b w:val="false"/>
          <w:i w:val="false"/>
          <w:color w:val="000000"/>
          <w:sz w:val="22"/>
        </w:rPr>
        <w:t>Eligible entities must conduct a community assessment at least once every three years. The community assessment shall include data specific to poverty, qualitative and quantitative data, and key findings on the causes and conditions of poverty and the needs of the communities assessed. The results of the assessment shall be used to plan activities contained in the community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58.6(5)</w:t>
      </w: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The department will issue the eligible entity a CSBG contract once the department accepts the community action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441—58.7</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Review and acceptance of community action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58.7(1)</w:t>
      </w:r>
      <w:r>
        <w:rPr>
          <w:rFonts w:ascii="Times New Roman" w:hAnsi="Times New Roman"/>
          <w:b w:val="false"/>
          <w:i w:val="false"/>
          <w:color w:val="000000"/>
          <w:sz w:val="22"/>
        </w:rPr>
        <w:t> </w:t>
      </w:r>
      <w:r>
        <w:rPr>
          <w:rFonts w:ascii="Times New Roman" w:hAnsi="Times New Roman"/>
          <w:b w:val="false"/>
          <w:i/>
          <w:color w:val="000000"/>
          <w:sz w:val="22"/>
        </w:rPr>
        <w:t xml:space="preserve">Compliance review. </w:t>
      </w:r>
      <w:r>
        <w:rPr>
          <w:rFonts w:ascii="Times New Roman" w:hAnsi="Times New Roman"/>
          <w:b w:val="false"/>
          <w:i w:val="false"/>
          <w:color w:val="000000"/>
          <w:sz w:val="22"/>
        </w:rPr>
        <w:t>All activities proposed in the community action plan will be reviewed by the department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Compliance with the specific purposes and uses of funds outlined in rules </w:t>
      </w:r>
      <w:hyperlink r:id="rId13">
        <w:r>
          <w:rPr>
            <w:rStyle w:val="Hyperlink"/>
            <w:rFonts w:ascii="Times New Roman" w:hAnsi="Times New Roman"/>
            <w:b w:val="false"/>
            <w:i w:val="false"/>
            <w:color w:val="000000"/>
            <w:sz w:val="22"/>
          </w:rPr>
          <w:t>441—58.2</w:t>
        </w:r>
      </w:hyperlink>
      <w:r>
        <w:rPr>
          <w:rFonts w:ascii="Times New Roman" w:hAnsi="Times New Roman"/>
          <w:b w:val="false"/>
          <w:i w:val="false"/>
          <w:color w:val="000000"/>
          <w:sz w:val="22"/>
        </w:rPr>
        <w:t xml:space="preserve">(216A,PL97-35) and </w:t>
      </w:r>
      <w:hyperlink r:id="rId14">
        <w:r>
          <w:rPr>
            <w:rStyle w:val="Hyperlink"/>
            <w:rFonts w:ascii="Times New Roman" w:hAnsi="Times New Roman"/>
            <w:b w:val="false"/>
            <w:i w:val="false"/>
            <w:color w:val="000000"/>
            <w:sz w:val="22"/>
          </w:rPr>
          <w:t>441—58.3</w:t>
        </w:r>
      </w:hyperlink>
      <w:r>
        <w:rPr>
          <w:rFonts w:ascii="Times New Roman" w:hAnsi="Times New Roman"/>
          <w:b w:val="false"/>
          <w:i w:val="false"/>
          <w:color w:val="000000"/>
          <w:sz w:val="22"/>
        </w:rPr>
        <w:t>(216A,PL97-35);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Inclusion of assurances that the eligible entity will conduct the CSBG in compliance with all applicable laws;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Inclusion and proper completion of all forms and instructions included in the request for community action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58.7(2)</w:t>
      </w:r>
      <w:r>
        <w:rPr>
          <w:rFonts w:ascii="Times New Roman" w:hAnsi="Times New Roman"/>
          <w:b w:val="false"/>
          <w:i w:val="false"/>
          <w:color w:val="000000"/>
          <w:sz w:val="22"/>
        </w:rPr>
        <w:t> </w:t>
      </w:r>
      <w:r>
        <w:rPr>
          <w:rFonts w:ascii="Times New Roman" w:hAnsi="Times New Roman"/>
          <w:b w:val="false"/>
          <w:i/>
          <w:color w:val="000000"/>
          <w:sz w:val="22"/>
        </w:rPr>
        <w:t xml:space="preserve">Performance. </w:t>
      </w:r>
      <w:r>
        <w:rPr>
          <w:rFonts w:ascii="Times New Roman" w:hAnsi="Times New Roman"/>
          <w:b w:val="false"/>
          <w:i w:val="false"/>
          <w:color w:val="000000"/>
          <w:sz w:val="22"/>
        </w:rPr>
        <w:t>Acceptance of community action plans is dependent on the satisfactory performance of the eligible entity in the past funding year(s). Additionally, available records, audits, and determinations from other relevant state and federal agencies may be utilized.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441—58.8</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Ineligible items. </w:t>
      </w:r>
      <w:r>
        <w:rPr>
          <w:rFonts w:ascii="Times New Roman" w:hAnsi="Times New Roman"/>
          <w:b w:val="false"/>
          <w:i w:val="false"/>
          <w:color w:val="000000"/>
          <w:sz w:val="22"/>
        </w:rPr>
        <w:t>CSBG funds cannot be used for the following activities or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58.8(1)</w:t>
      </w:r>
      <w:r>
        <w:rPr>
          <w:rFonts w:ascii="Times New Roman" w:hAnsi="Times New Roman"/>
          <w:b w:val="false"/>
          <w:i w:val="false"/>
          <w:color w:val="000000"/>
          <w:sz w:val="22"/>
        </w:rPr>
        <w:t> </w:t>
      </w:r>
      <w:r>
        <w:rPr>
          <w:rFonts w:ascii="Times New Roman" w:hAnsi="Times New Roman"/>
          <w:b w:val="false"/>
          <w:i w:val="false"/>
          <w:color w:val="000000"/>
          <w:sz w:val="22"/>
        </w:rPr>
        <w:t>Any partisan or nonpartisan political activity or any political activity associated with a candidate, or faction group, in an election for public or party office; any activity to provide voters or prospective voters with transportation to the polls or similar assistance in connection with any such election; or any voter registration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58.8(2)</w:t>
      </w:r>
      <w:r>
        <w:rPr>
          <w:rFonts w:ascii="Times New Roman" w:hAnsi="Times New Roman"/>
          <w:b w:val="false"/>
          <w:i w:val="false"/>
          <w:color w:val="000000"/>
          <w:sz w:val="22"/>
        </w:rPr>
        <w:t> </w:t>
      </w:r>
      <w:r>
        <w:rPr>
          <w:rFonts w:ascii="Times New Roman" w:hAnsi="Times New Roman"/>
          <w:b w:val="false"/>
          <w:i w:val="false"/>
          <w:color w:val="000000"/>
          <w:sz w:val="22"/>
        </w:rPr>
        <w:t>The purchase or improvement of land, or the purchase, construction, or permanent improvement (other than low-cost residential weatherization or other energy-related home repairs) of any building or other facility. Exceptions shall only be provided through the waiver procedure described in Section 678F(a) of the CSBG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441—58.9</w:t>
      </w:r>
      <w:r>
        <w:rPr>
          <w:rFonts w:ascii="Times New Roman" w:hAnsi="Times New Roman"/>
          <w:b/>
          <w:i w:val="false"/>
          <w:color w:val="000000"/>
          <w:sz w:val="22"/>
        </w:rPr>
        <w:t xml:space="preserve">(216A) </w:t>
      </w:r>
      <w:r>
        <w:rPr>
          <w:rFonts w:ascii="Times New Roman" w:hAnsi="Times New Roman"/>
          <w:b/>
          <w:i w:val="false"/>
          <w:color w:val="000000"/>
          <w:sz w:val="22"/>
        </w:rPr>
        <w:t xml:space="preserve">Audits and records. </w:t>
      </w:r>
      <w:r>
        <w:rPr>
          <w:rFonts w:ascii="Times New Roman" w:hAnsi="Times New Roman"/>
          <w:b w:val="false"/>
          <w:i w:val="false"/>
          <w:color w:val="000000"/>
          <w:sz w:val="22"/>
        </w:rPr>
        <w:t>Eligible entities shall arrange and pay for an annual audit. Audits shall be performed by a certified public accountant and in accordance with generally accepted auditing standards. Audit procedures shall conform to 2 CFR Chapter I, Office of Management and Budget Governmentwide Guidance for Grants and Agreements as amended to August 1, 2026, and Chapter II, Part 200, et al., Uniform Administrative Requirements, Cost Principles, and Audit Requirements for Federal Awards as amended to August 1, 2026. In addition, the department may request more frequent audits or examinations of financial records of the eligible entity in order to ensure adequate financial controls are in place and operating.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441—58.10</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Designating eligible entities for unserved areas. </w:t>
      </w:r>
      <w:r>
        <w:rPr>
          <w:rFonts w:ascii="Times New Roman" w:hAnsi="Times New Roman"/>
          <w:b w:val="false"/>
          <w:i w:val="false"/>
          <w:color w:val="000000"/>
          <w:sz w:val="22"/>
        </w:rPr>
        <w:t>If any geographic area of the state is not, or ceases to be, served by a community action agency and the governor decides to serve such area, the department will adhere to the requirements in Section 676A of the CSBG Act, U.S. Department of Health and Human Services statutory guidance, and other federal and state laws to solicit applications from qualified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441—58.11</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Termination and reduction of funding. </w:t>
      </w:r>
      <w:r>
        <w:rPr>
          <w:rFonts w:ascii="Times New Roman" w:hAnsi="Times New Roman"/>
          <w:b w:val="false"/>
          <w:i w:val="false"/>
          <w:color w:val="000000"/>
          <w:sz w:val="22"/>
        </w:rPr>
        <w:t xml:space="preserve">The department may terminate the designation of or reduce the share of CSBG funds allocated to an eligible entity if the department determines that an eligible entity fails to comply with the terms of an agreement, or the Iowa CSBG State Plan as amended to August 1, 2026, to provide CSBG services or to meet appropriate standards, goals, and other requirements established by the department, including performance objectives. If the department finds cause to terminate the designation of or reduce the funding of an eligible entity, the department will adhere to the requirements in Section 678C of the CSBG Act, U.S. Department of Health and Human Services statutory guidance, and other federal and state laws, including provisions of notification, technical assistance, corrective action, opportunity for a hearing under </w:t>
      </w:r>
      <w:hyperlink r:id="rId1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and federal review, to initiate proceedings to terminate the designation of or reduce the funding of the eligible 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441—58.12</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Client grievance and appeal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58.12(1)</w:t>
      </w:r>
      <w:r>
        <w:rPr>
          <w:rFonts w:ascii="Times New Roman" w:hAnsi="Times New Roman"/>
          <w:b w:val="false"/>
          <w:i w:val="false"/>
          <w:color w:val="000000"/>
          <w:sz w:val="22"/>
        </w:rPr>
        <w:t> </w:t>
      </w:r>
      <w:r>
        <w:rPr>
          <w:rFonts w:ascii="Times New Roman" w:hAnsi="Times New Roman"/>
          <w:b w:val="false"/>
          <w:i w:val="false"/>
          <w:color w:val="000000"/>
          <w:sz w:val="22"/>
        </w:rPr>
        <w:t>Eligible entities shall adopt client grievance procedures to address CSBG client complaints. The grievance procedures must be approved by the department. The procedures shall be used for all clients to file a complaint for nonappealable items. If complaints are unable to be resolved, the eligible entity shall forward the issue to the department for assistance with resolution.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handle client appeals pursuant to </w:t>
      </w:r>
      <w:hyperlink r:id="rId1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Items that are appealable are denial of eligibility, services, or benefits when services are solely CSBG-funded assistance or for services provided through co-funded programs where there is no other dispute resolution avenue.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441—58.13</w:t>
      </w:r>
      <w:r>
        <w:rPr>
          <w:rFonts w:ascii="Times New Roman" w:hAnsi="Times New Roman"/>
          <w:b/>
          <w:i w:val="false"/>
          <w:color w:val="000000"/>
          <w:sz w:val="22"/>
        </w:rPr>
        <w:t xml:space="preserve">(216A,PL97-35) </w:t>
      </w:r>
      <w:r>
        <w:rPr>
          <w:rFonts w:ascii="Times New Roman" w:hAnsi="Times New Roman"/>
          <w:b/>
          <w:i w:val="false"/>
          <w:color w:val="000000"/>
          <w:sz w:val="22"/>
        </w:rPr>
        <w:t xml:space="preserve">Further criteria. </w:t>
      </w:r>
      <w:r>
        <w:rPr>
          <w:rFonts w:ascii="Times New Roman" w:hAnsi="Times New Roman"/>
          <w:b w:val="false"/>
          <w:i w:val="false"/>
          <w:color w:val="000000"/>
          <w:sz w:val="22"/>
        </w:rPr>
        <w:t>The Iowa CSBG State Plan and Application as amended to August 1, 2026, and the Iowa CSBG Policies and Procedures Manual as amended to August 1, 2026, are incorporated by reference as part of these rules. If any rule in this chapter conflicts with federal law or rules, federal law or rules shall prevail.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0496D</w:t>
      </w:r>
      <w:r>
        <w:rPr>
          <w:rFonts w:ascii="Times New Roman" w:hAnsi="Times New Roman"/>
          <w:b w:val="false"/>
          <w:i w:val="false"/>
          <w:color w:val="000000"/>
          <w:sz w:val="16"/>
        </w:rPr>
        <w:t>, IAB 8/19/26,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216A</w:t>
        </w:r>
      </w:hyperlink>
      <w:r>
        <w:rPr>
          <w:rFonts w:ascii="Times New Roman" w:hAnsi="Times New Roman"/>
          <w:b w:val="false"/>
          <w:i w:val="false"/>
          <w:color w:val="000000"/>
          <w:sz w:val="22"/>
        </w:rPr>
        <w:t xml:space="preserve"> and PL 97-35.</w:t>
      </w:r>
    </w:p>
    <w:p>
      <w:pPr>
        <w:spacing w:before="0" w:after="0"/>
        <w:ind w:left="120"/>
        <w:jc w:val="center"/>
      </w:pPr>
      <w:r>
        <w:rPr>
          <w:rFonts w:ascii="Times New Roman" w:hAnsi="Times New Roman"/>
          <w:b w:val="false"/>
          <w:i w:val="false"/>
          <w:color w:val="000000"/>
          <w:sz w:val="21"/>
        </w:rPr>
        <w:t>[Filed ARC 0496D</w:t>
      </w:r>
      <w:r>
        <w:rPr>
          <w:rFonts w:ascii="Times New Roman" w:hAnsi="Times New Roman"/>
          <w:b w:val="false"/>
          <w:i w:val="false"/>
          <w:color w:val="000000"/>
          <w:sz w:val="21"/>
        </w:rPr>
        <w:t xml:space="preserve"> (Notice ARC 0381D, IAB 6/24/26)</w:t>
      </w:r>
      <w:r>
        <w:rPr>
          <w:rFonts w:ascii="Times New Roman" w:hAnsi="Times New Roman"/>
          <w:b w:val="false"/>
          <w:i w:val="false"/>
          <w:color w:val="000000"/>
          <w:sz w:val="21"/>
        </w:rPr>
        <w:t>, IAB 8/19/26, effective 10/1/26]</w:t>
      </w:r>
    </w:p>
    <w:sectPr>
      <w:footerReference r:id="rId1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A.91.pdf" Type="http://schemas.openxmlformats.org/officeDocument/2006/relationships/hyperlink" Id="rId5"/>
    <Relationship TargetMode="External" Target="https://www.legis.iowa.gov/docs/ico/chapter/216A.93.pdf" Type="http://schemas.openxmlformats.org/officeDocument/2006/relationships/hyperlink" Id="rId6"/>
    <Relationship TargetMode="External" Target="https://www.legis.iowa.gov/docs/ico/chapter/216A.92.pdf" Type="http://schemas.openxmlformats.org/officeDocument/2006/relationships/hyperlink" Id="rId7"/>
    <Relationship TargetMode="External" Target="https://www.legis.iowa.gov/docs/ico/chapter/8.41.pdf" Type="http://schemas.openxmlformats.org/officeDocument/2006/relationships/hyperlink" Id="rId8"/>
    <Relationship TargetMode="External" Target="https://www.legis.iowa.gov/docs/iac/rule/441.58.4.pdf" Type="http://schemas.openxmlformats.org/officeDocument/2006/relationships/hyperlink" Id="rId9"/>
    <Relationship TargetMode="External" Target="https://www.legis.iowa.gov/docs/ico/chapter/216A.94.pdf" Type="http://schemas.openxmlformats.org/officeDocument/2006/relationships/hyperlink" Id="rId10"/>
    <Relationship TargetMode="External" Target="https://www.legis.iowa.gov/docs/iac/rule/441.58.4.pdf" Type="http://schemas.openxmlformats.org/officeDocument/2006/relationships/hyperlink" Id="rId11"/>
    <Relationship TargetMode="External" Target="https://www.legis.iowa.gov/docs/iac/rule/441.58.2.pdf" Type="http://schemas.openxmlformats.org/officeDocument/2006/relationships/hyperlink" Id="rId12"/>
    <Relationship TargetMode="External" Target="https://www.legis.iowa.gov/docs/iac/rule/441.58.2.pdf" Type="http://schemas.openxmlformats.org/officeDocument/2006/relationships/hyperlink" Id="rId13"/>
    <Relationship TargetMode="External" Target="https://www.legis.iowa.gov/docs/iac/rule/441.58.3.pdf" Type="http://schemas.openxmlformats.org/officeDocument/2006/relationships/hyperlink" Id="rId14"/>
    <Relationship TargetMode="External" Target="https://www.legis.iowa.gov/docs/iac/chapter/441.2506.pdf" Type="http://schemas.openxmlformats.org/officeDocument/2006/relationships/hyperlink" Id="rId15"/>
    <Relationship TargetMode="External" Target="https://www.legis.iowa.gov/docs/iac/chapter/441.2506.pdf" Type="http://schemas.openxmlformats.org/officeDocument/2006/relationships/hyperlink" Id="rId16"/>
    <Relationship TargetMode="External" Target="https://www.legis.iowa.gov/docs/ico/chapter/216A.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