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FACILITY PARTICIPATION</w:t>
      </w:r>
    </w:p>
    <w:p>
      <w:pPr>
        <w:spacing w:before="0" w:after="0"/>
        <w:ind w:left="120"/>
        <w:jc w:val="center"/>
      </w:pPr>
      <w:r>
        <w:rPr>
          <w:rFonts w:ascii="Times New Roman" w:hAnsi="Times New Roman"/>
          <w:b w:val="false"/>
          <w:i w:val="false"/>
          <w:color w:val="000000"/>
          <w:sz w:val="14"/>
        </w:rPr>
        <w:t>[Prior to 7/l/83, Social Services[770] Ch 54]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441—54.1</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and contract agreement. </w:t>
      </w:r>
      <w:r>
        <w:rPr>
          <w:rFonts w:ascii="Times New Roman" w:hAnsi="Times New Roman"/>
          <w:b w:val="false"/>
          <w:i w:val="false"/>
          <w:color w:val="000000"/>
          <w:sz w:val="22"/>
        </w:rPr>
        <w:t>Each facility desiring to participate in the state supplementary assistance program must enter into a contract with the department and agree to the provisions set forth in a contract in a form prescribed by the department. The effective date of the contract shall be the first of the month that the form is signed by the administrator of the facility and is received by the department. No payment shall be made for care provided before the effective date of the contract. The contract shall be in effect until the department ceases to participate in the program, until either party gives 60 days’ notice of termination in writing to the other party, or until there is a change in ownership. The facility shall notify the department within 30 days of a change in ownership, a change in the number of beds, or a change in administrator.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9307C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441—54.2</w:t>
      </w:r>
      <w:r>
        <w:rPr>
          <w:rFonts w:ascii="Times New Roman" w:hAnsi="Times New Roman"/>
          <w:b/>
          <w:i w:val="false"/>
          <w:color w:val="000000"/>
          <w:sz w:val="22"/>
        </w:rPr>
        <w:t xml:space="preserve">(249) </w:t>
      </w:r>
      <w:r>
        <w:rPr>
          <w:rFonts w:ascii="Times New Roman" w:hAnsi="Times New Roman"/>
          <w:b/>
          <w:i w:val="false"/>
          <w:color w:val="000000"/>
          <w:sz w:val="22"/>
        </w:rPr>
        <w:t xml:space="preserve">Maintenance of case records. </w:t>
      </w:r>
      <w:r>
        <w:rPr>
          <w:rFonts w:ascii="Times New Roman" w:hAnsi="Times New Roman"/>
          <w:b w:val="false"/>
          <w:i w:val="false"/>
          <w:color w:val="000000"/>
          <w:sz w:val="22"/>
        </w:rPr>
        <w:t>A facility must maintain a case folder for each individual residing in the facility that contains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Contract between the facility and the resident on a form prescribed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Physician’s statement certifying that the resident does not require nursing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Proof of expenditures from resident’s “personal needs” allowance.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9307C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441—54.3</w:t>
      </w:r>
      <w:r>
        <w:rPr>
          <w:rFonts w:ascii="Times New Roman" w:hAnsi="Times New Roman"/>
          <w:b/>
          <w:i w:val="false"/>
          <w:color w:val="000000"/>
          <w:sz w:val="22"/>
        </w:rPr>
        <w:t xml:space="preserve">(249) </w:t>
      </w:r>
      <w:r>
        <w:rPr>
          <w:rFonts w:ascii="Times New Roman" w:hAnsi="Times New Roman"/>
          <w:b/>
          <w:i w:val="false"/>
          <w:color w:val="000000"/>
          <w:sz w:val="22"/>
        </w:rPr>
        <w:t xml:space="preserve">Payments for residential care facilities. </w:t>
      </w:r>
      <w:r>
        <w:rPr>
          <w:rFonts w:ascii="Times New Roman" w:hAnsi="Times New Roman"/>
          <w:b w:val="false"/>
          <w:i w:val="false"/>
          <w:color w:val="000000"/>
          <w:sz w:val="22"/>
        </w:rPr>
        <w:t xml:space="preserve">Payments for residential care facilities will be made at the maximum per diem rate in </w:t>
      </w:r>
      <w:hyperlink r:id="rId7">
        <w:r>
          <w:rPr>
            <w:rStyle w:val="Hyperlink"/>
            <w:rFonts w:ascii="Times New Roman" w:hAnsi="Times New Roman"/>
            <w:b w:val="false"/>
            <w:i w:val="false"/>
            <w:color w:val="000000"/>
            <w:sz w:val="22"/>
          </w:rPr>
          <w:t>441—subrule 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adequately maintain fiscal records, including census records, medical charts, ledgers, journals, tax returns, canceled checks, source documents, invoices, and audit reports by or for a facility, may result in the penalties specified in rule </w:t>
      </w:r>
      <w:hyperlink r:id="rId8">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ownership.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9307C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441—54.4</w:t>
      </w:r>
      <w:r>
        <w:rPr>
          <w:rFonts w:ascii="Times New Roman" w:hAnsi="Times New Roman"/>
          <w:b/>
          <w:i w:val="false"/>
          <w:color w:val="000000"/>
          <w:sz w:val="22"/>
        </w:rPr>
        <w:t xml:space="preserve">(249) </w:t>
      </w:r>
      <w:r>
        <w:rPr>
          <w:rFonts w:ascii="Times New Roman" w:hAnsi="Times New Roman"/>
          <w:b/>
          <w:i w:val="false"/>
          <w:color w:val="000000"/>
          <w:sz w:val="22"/>
        </w:rPr>
        <w:t xml:space="preserve">Goods and services provided. </w:t>
      </w:r>
      <w:r>
        <w:rPr>
          <w:rFonts w:ascii="Times New Roman" w:hAnsi="Times New Roman"/>
          <w:b w:val="false"/>
          <w:i w:val="false"/>
          <w:color w:val="000000"/>
          <w:sz w:val="22"/>
        </w:rPr>
        <w:t xml:space="preserve">All facilities participating in the program shall provide residents those goods and services required by the terms of the license issued by the department of inspections, appeals, and licensing in accordance with Iowa Code chapter </w:t>
      </w:r>
      <w:hyperlink r:id="rId10">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rules promulgated thereto set forth in </w:t>
      </w:r>
      <w:hyperlink r:id="rId11">
        <w:r>
          <w:rPr>
            <w:rStyle w:val="Hyperlink"/>
            <w:rFonts w:ascii="Times New Roman" w:hAnsi="Times New Roman"/>
            <w:b w:val="false"/>
            <w:i w:val="false"/>
            <w:color w:val="000000"/>
            <w:sz w:val="22"/>
          </w:rPr>
          <w:t>481—Chapter 57</w:t>
        </w:r>
      </w:hyperlink>
      <w:r>
        <w:rPr>
          <w:rFonts w:ascii="Times New Roman" w:hAnsi="Times New Roman"/>
          <w:b w:val="false"/>
          <w:i w:val="false"/>
          <w:color w:val="000000"/>
          <w:sz w:val="22"/>
        </w:rPr>
        <w:t xml:space="preserve"> and requirements of the department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54.4(1)</w:t>
      </w:r>
      <w:r>
        <w:rPr>
          <w:rFonts w:ascii="Times New Roman" w:hAnsi="Times New Roman"/>
          <w:b w:val="false"/>
          <w:i w:val="false"/>
          <w:color w:val="000000"/>
          <w:sz w:val="22"/>
        </w:rPr>
        <w:t> </w:t>
      </w:r>
      <w:r>
        <w:rPr>
          <w:rFonts w:ascii="Times New Roman" w:hAnsi="Times New Roman"/>
          <w:b w:val="false"/>
          <w:i/>
          <w:color w:val="000000"/>
          <w:sz w:val="22"/>
        </w:rPr>
        <w:t xml:space="preserve">Payment accepted. </w:t>
      </w:r>
      <w:r>
        <w:rPr>
          <w:rFonts w:ascii="Times New Roman" w:hAnsi="Times New Roman"/>
          <w:b w:val="false"/>
          <w:i w:val="false"/>
          <w:color w:val="000000"/>
          <w:sz w:val="22"/>
        </w:rPr>
        <w:t>The amount of client participation and the payment made through the state supplementary assistance program shall be accepted as payment in full for the required goods and services provided to the resident. The facility may seek reimbursement from other sources for goods and services provided that are beyond the goods and services required to be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54.4(2)</w:t>
      </w:r>
      <w:r>
        <w:rPr>
          <w:rFonts w:ascii="Times New Roman" w:hAnsi="Times New Roman"/>
          <w:b w:val="false"/>
          <w:i w:val="false"/>
          <w:color w:val="000000"/>
          <w:sz w:val="22"/>
        </w:rPr>
        <w:t> </w:t>
      </w:r>
      <w:r>
        <w:rPr>
          <w:rFonts w:ascii="Times New Roman" w:hAnsi="Times New Roman"/>
          <w:b w:val="false"/>
          <w:i/>
          <w:color w:val="000000"/>
          <w:sz w:val="22"/>
        </w:rPr>
        <w:t xml:space="preserve">Care, maintenance, general supervision, and personal services. </w:t>
      </w:r>
      <w:r>
        <w:rPr>
          <w:rFonts w:ascii="Times New Roman" w:hAnsi="Times New Roman"/>
          <w:b w:val="false"/>
          <w:i w:val="false"/>
          <w:color w:val="000000"/>
          <w:sz w:val="22"/>
        </w:rPr>
        <w:t>Each facility, as part of providing care, maintenance, general supervision, and personal services, shall provide as necessary supervision or assistance with ambulation, grooming, hair washing, shaving, personal hygiene, bathing, getting in and out of bed, dressing, feeding, and medication that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54.4(3)</w:t>
      </w:r>
      <w:r>
        <w:rPr>
          <w:rFonts w:ascii="Times New Roman" w:hAnsi="Times New Roman"/>
          <w:b w:val="false"/>
          <w:i w:val="false"/>
          <w:color w:val="000000"/>
          <w:sz w:val="22"/>
        </w:rPr>
        <w:t> </w:t>
      </w:r>
      <w:r>
        <w:rPr>
          <w:rFonts w:ascii="Times New Roman" w:hAnsi="Times New Roman"/>
          <w:b w:val="false"/>
          <w:i/>
          <w:color w:val="000000"/>
          <w:sz w:val="22"/>
        </w:rPr>
        <w:t xml:space="preserve">Laundry. </w:t>
      </w:r>
      <w:r>
        <w:rPr>
          <w:rFonts w:ascii="Times New Roman" w:hAnsi="Times New Roman"/>
          <w:b w:val="false"/>
          <w:i w:val="false"/>
          <w:color w:val="000000"/>
          <w:sz w:val="22"/>
        </w:rPr>
        <w:t>Each facility shall provide personal laundry service to the resident as part of the goods and services paid for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54.4(4)</w:t>
      </w:r>
      <w:r>
        <w:rPr>
          <w:rFonts w:ascii="Times New Roman" w:hAnsi="Times New Roman"/>
          <w:b w:val="false"/>
          <w:i w:val="false"/>
          <w:color w:val="000000"/>
          <w:sz w:val="22"/>
        </w:rPr>
        <w:t> </w:t>
      </w:r>
      <w:r>
        <w:rPr>
          <w:rFonts w:ascii="Times New Roman" w:hAnsi="Times New Roman"/>
          <w:b w:val="false"/>
          <w:i/>
          <w:color w:val="000000"/>
          <w:sz w:val="22"/>
        </w:rPr>
        <w:t xml:space="preserve">Room furnishings. </w:t>
      </w:r>
      <w:r>
        <w:rPr>
          <w:rFonts w:ascii="Times New Roman" w:hAnsi="Times New Roman"/>
          <w:b w:val="false"/>
          <w:i w:val="false"/>
          <w:color w:val="000000"/>
          <w:sz w:val="22"/>
        </w:rPr>
        <w:t xml:space="preserve">The facility shall completely furnish the resident’s room in accordance with </w:t>
      </w:r>
      <w:hyperlink r:id="rId12">
        <w:r>
          <w:rPr>
            <w:rStyle w:val="Hyperlink"/>
            <w:rFonts w:ascii="Times New Roman" w:hAnsi="Times New Roman"/>
            <w:b w:val="false"/>
            <w:i w:val="false"/>
            <w:color w:val="000000"/>
            <w:sz w:val="22"/>
          </w:rPr>
          <w:t>481—subrule 57.30(4)</w:t>
        </w:r>
      </w:hyperlink>
      <w:r>
        <w:rPr>
          <w:rFonts w:ascii="Times New Roman" w:hAnsi="Times New Roman"/>
          <w:b w:val="false"/>
          <w:i w:val="false"/>
          <w:color w:val="000000"/>
          <w:sz w:val="22"/>
        </w:rPr>
        <w:t xml:space="preserve"> without additional charge to the resident or person acting on the resident’s behalf. When the resident wishes to provide some item or items of room furnishing, the facility may grant the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9307C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441—54.5</w:t>
      </w:r>
      <w:r>
        <w:rPr>
          <w:rFonts w:ascii="Times New Roman" w:hAnsi="Times New Roman"/>
          <w:b/>
          <w:i w:val="false"/>
          <w:color w:val="000000"/>
          <w:sz w:val="22"/>
        </w:rPr>
        <w:t xml:space="preserve">(249) </w:t>
      </w:r>
      <w:r>
        <w:rPr>
          <w:rFonts w:ascii="Times New Roman" w:hAnsi="Times New Roman"/>
          <w:b/>
          <w:i w:val="false"/>
          <w:color w:val="000000"/>
          <w:sz w:val="22"/>
        </w:rPr>
        <w:t xml:space="preserve">Personal needs account. </w:t>
      </w:r>
      <w:r>
        <w:rPr>
          <w:rFonts w:ascii="Times New Roman" w:hAnsi="Times New Roman"/>
          <w:b w:val="false"/>
          <w:i w:val="false"/>
          <w:color w:val="000000"/>
          <w:sz w:val="22"/>
        </w:rPr>
        <w:t>When a facility manages the personal needs funds of a resident, it shall establish and maintain a system of accounting for expenditures from the resident’s personal needs funds. The personal needs funds shall be deposited in a single checking account, not commingled with trust funds from any other facility, nor commingled with facility operating funds except for facility funds, not to exceed $500, deposited to cover bank charges and have in the account name the terms “Resident Trust Funds.” The funds shall be deposited in a bank or other institution within the state of Iowa insured by the federal government. Expense for bank service charges for this account is a cost of doing business if the service cannot be obtained free of charge. The department will charge back to the facility any maintenance item included in the computation of the audit cost that is charged to the resident’s personal needs allowance when such charge constitutes double payment. Unverifiable expenditures charged to personal needs accounts may be charged back to the facility. The accounting system is subject to audit by representatives of the department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color w:val="000000"/>
          <w:sz w:val="22"/>
        </w:rPr>
        <w:t xml:space="preserve">Ledger.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When something is purchased for the resident and is not a direct cash disbursement, each such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Personal funds shall be turned over only to the resident, the resident’s guardian, or other persons selected by the resident. With the consent of the resident, when the resident is able and willing to give the consent, the administrator may turn over personal funds to a close relative or friend of the resident to purchase a particular item. A signed,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54.5(4)</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The ledger and receipts for each recipient shall be made available for periodic audits by an accredited department representative. Audit certification shall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54.5(5)</w:t>
      </w:r>
      <w:r>
        <w:rPr>
          <w:rFonts w:ascii="Times New Roman" w:hAnsi="Times New Roman"/>
          <w:b w:val="false"/>
          <w:i w:val="false"/>
          <w:color w:val="000000"/>
          <w:sz w:val="22"/>
        </w:rPr>
        <w:t> </w:t>
      </w:r>
      <w:r>
        <w:rPr>
          <w:rFonts w:ascii="Times New Roman" w:hAnsi="Times New Roman"/>
          <w:b w:val="false"/>
          <w:i/>
          <w:color w:val="000000"/>
          <w:sz w:val="22"/>
        </w:rPr>
        <w:t xml:space="preserve">Death. </w:t>
      </w:r>
      <w:r>
        <w:rPr>
          <w:rFonts w:ascii="Times New Roman" w:hAnsi="Times New Roman"/>
          <w:b w:val="false"/>
          <w:i w:val="false"/>
          <w:color w:val="000000"/>
          <w:sz w:val="22"/>
        </w:rPr>
        <w:t>Upon a recipient’s death, the funds remaining in the personal needs account shall be treated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written statement of the personal needs account to be filed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estate is opened, the funds shall be submitted to the estate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no estate is opened, the funds shall be released to the person assuming responsibility for the recipient’s funeral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no estate is opened and there are no living heirs, the funds shall be submitted to the department to escheat to the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9307C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441—54.6</w:t>
      </w:r>
      <w:r>
        <w:rPr>
          <w:rFonts w:ascii="Times New Roman" w:hAnsi="Times New Roman"/>
          <w:b/>
          <w:i w:val="false"/>
          <w:color w:val="000000"/>
          <w:sz w:val="22"/>
        </w:rPr>
        <w:t xml:space="preserve">(249) </w:t>
      </w:r>
      <w:r>
        <w:rPr>
          <w:rFonts w:ascii="Times New Roman" w:hAnsi="Times New Roman"/>
          <w:b/>
          <w:i w:val="false"/>
          <w:color w:val="000000"/>
          <w:sz w:val="22"/>
        </w:rPr>
        <w:t xml:space="preserve">Case activity report. </w:t>
      </w:r>
      <w:r>
        <w:rPr>
          <w:rFonts w:ascii="Times New Roman" w:hAnsi="Times New Roman"/>
          <w:b w:val="false"/>
          <w:i w:val="false"/>
          <w:color w:val="000000"/>
          <w:sz w:val="22"/>
        </w:rPr>
        <w:t>Whenever a Medicaid applicant or recipient enters the facility, changes level of care, or is discharged from the facility, the facility shall notify the department on a form prescribed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9307C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441—54.7</w:t>
      </w:r>
      <w:r>
        <w:rPr>
          <w:rFonts w:ascii="Times New Roman" w:hAnsi="Times New Roman"/>
          <w:b/>
          <w:i w:val="false"/>
          <w:color w:val="000000"/>
          <w:sz w:val="22"/>
        </w:rPr>
        <w:t xml:space="preserve">(249)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In order to determine the amount of payment to the recipient, the facility shall submit a billing form to the department following the month in which service was provided.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249.12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9307C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6/1/78, Notice 3/22/78—published 6/28/78, effective 8/2/78]</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without Notice 1/31/79—published 2/21/79, effective 3/28/79]</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9/25/80, Notice 8/6/80—published 10/15/80, effective 12/1/80]</w:t>
      </w:r>
    </w:p>
    <w:p>
      <w:pPr>
        <w:spacing w:before="0" w:after="0"/>
        <w:ind w:left="120"/>
        <w:jc w:val="center"/>
      </w:pPr>
      <w:r>
        <w:rPr>
          <w:rFonts w:ascii="Times New Roman" w:hAnsi="Times New Roman"/>
          <w:b w:val="false"/>
          <w:i w:val="false"/>
          <w:color w:val="000000"/>
          <w:sz w:val="21"/>
        </w:rPr>
        <w:t>[Filed 11/21/80, Notice 9/17/80—published 12/10/80, effective 1/14/81]</w:t>
      </w:r>
    </w:p>
    <w:p>
      <w:pPr>
        <w:spacing w:before="0" w:after="0"/>
        <w:ind w:left="120"/>
        <w:jc w:val="center"/>
      </w:pPr>
      <w:r>
        <w:rPr>
          <w:rFonts w:ascii="Times New Roman" w:hAnsi="Times New Roman"/>
          <w:b w:val="false"/>
          <w:i w:val="false"/>
          <w:color w:val="000000"/>
          <w:sz w:val="21"/>
        </w:rPr>
        <w:t>[Filed 4/29/82, Notice 1/20/82—published 5/26/82, effective 7/1/82]</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7/24/91—published 10/16/91, effective 12/1/91]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ARC 0991C</w:t>
      </w:r>
      <w:r>
        <w:rPr>
          <w:rFonts w:ascii="Times New Roman" w:hAnsi="Times New Roman"/>
          <w:b w:val="false"/>
          <w:i w:val="false"/>
          <w:color w:val="000000"/>
          <w:sz w:val="21"/>
        </w:rPr>
        <w:t xml:space="preserve"> (Notice ARC 0790C,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3441C</w:t>
      </w:r>
      <w:r>
        <w:rPr>
          <w:rFonts w:ascii="Times New Roman" w:hAnsi="Times New Roman"/>
          <w:b w:val="false"/>
          <w:i w:val="false"/>
          <w:color w:val="000000"/>
          <w:sz w:val="21"/>
        </w:rPr>
        <w:t xml:space="preserve"> (Notice ARC 3259C, IAB 8/16/17)</w:t>
      </w:r>
      <w:r>
        <w:rPr>
          <w:rFonts w:ascii="Times New Roman" w:hAnsi="Times New Roman"/>
          <w:b w:val="false"/>
          <w:i w:val="false"/>
          <w:color w:val="000000"/>
          <w:sz w:val="21"/>
        </w:rPr>
        <w:t>, IAB 11/8/17, effective 10/11/17]</w:t>
      </w:r>
    </w:p>
    <w:p>
      <w:pPr>
        <w:spacing w:before="0" w:after="0"/>
        <w:ind w:left="120"/>
        <w:jc w:val="center"/>
      </w:pPr>
      <w:r>
        <w:rPr>
          <w:rFonts w:ascii="Times New Roman" w:hAnsi="Times New Roman"/>
          <w:b w:val="false"/>
          <w:i w:val="false"/>
          <w:color w:val="000000"/>
          <w:sz w:val="21"/>
        </w:rPr>
        <w:t>[Filed ARC 6623C</w:t>
      </w:r>
      <w:r>
        <w:rPr>
          <w:rFonts w:ascii="Times New Roman" w:hAnsi="Times New Roman"/>
          <w:b w:val="false"/>
          <w:i w:val="false"/>
          <w:color w:val="000000"/>
          <w:sz w:val="21"/>
        </w:rPr>
        <w:t xml:space="preserve"> (Notice ARC 6472C,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ARC 9307C</w:t>
      </w:r>
      <w:r>
        <w:rPr>
          <w:rFonts w:ascii="Times New Roman" w:hAnsi="Times New Roman"/>
          <w:b w:val="false"/>
          <w:i w:val="false"/>
          <w:color w:val="000000"/>
          <w:sz w:val="21"/>
        </w:rPr>
        <w:t xml:space="preserve"> (Notice ARC 8519C, IAB 12/11/24)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12.pdf" Type="http://schemas.openxmlformats.org/officeDocument/2006/relationships/hyperlink" Id="rId5"/>
    <Relationship TargetMode="External" Target="https://www.legis.iowa.gov/docs/ico/chapter/249.12.pdf" Type="http://schemas.openxmlformats.org/officeDocument/2006/relationships/hyperlink" Id="rId6"/>
    <Relationship TargetMode="External" Target="https://www.legis.iowa.gov/docs/iac/rule/441.52.1.pdf" Type="http://schemas.openxmlformats.org/officeDocument/2006/relationships/hyperlink" Id="rId7"/>
    <Relationship TargetMode="External" Target="https://www.legis.iowa.gov/docs/iac/rule/441.79.3.pdf" Type="http://schemas.openxmlformats.org/officeDocument/2006/relationships/hyperlink" Id="rId8"/>
    <Relationship TargetMode="External" Target="https://www.legis.iowa.gov/docs/ico/chapter/249.12.pdf" Type="http://schemas.openxmlformats.org/officeDocument/2006/relationships/hyperlink" Id="rId9"/>
    <Relationship TargetMode="External" Target="https://www.legis.iowa.gov/docs/ico/chapter/135C.pdf" Type="http://schemas.openxmlformats.org/officeDocument/2006/relationships/hyperlink" Id="rId10"/>
    <Relationship TargetMode="External" Target="https://www.legis.iowa.gov/docs/iac/chapter/481.57.pdf" Type="http://schemas.openxmlformats.org/officeDocument/2006/relationships/hyperlink" Id="rId11"/>
    <Relationship TargetMode="External" Target="https://www.legis.iowa.gov/docs/iac/rule/481.57.30.pdf" Type="http://schemas.openxmlformats.org/officeDocument/2006/relationships/hyperlink" Id="rId12"/>
    <Relationship TargetMode="External" Target="https://www.legis.iowa.gov/docs/ico/chapter/249.12.pdf" Type="http://schemas.openxmlformats.org/officeDocument/2006/relationships/hyperlink" Id="rId13"/>
    <Relationship TargetMode="External" Target="https://www.legis.iowa.gov/docs/ico/chapter/249.12.pdf" Type="http://schemas.openxmlformats.org/officeDocument/2006/relationships/hyperlink" Id="rId14"/>
    <Relationship TargetMode="External" Target="https://www.legis.iowa.gov/docs/ico/chapter/249.12.pdf" Type="http://schemas.openxmlformats.org/officeDocument/2006/relationships/hyperlink" Id="rId15"/>
    <Relationship TargetMode="External" Target="https://www.legis.iowa.gov/docs/ico/chapter/249.12.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