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PAYMENT</w:t>
      </w:r>
    </w:p>
    <w:p>
      <w:pPr>
        <w:spacing w:before="0" w:after="0"/>
        <w:ind w:left="120"/>
        <w:jc w:val="center"/>
      </w:pPr>
      <w:r>
        <w:rPr>
          <w:rFonts w:ascii="Times New Roman" w:hAnsi="Times New Roman"/>
          <w:b w:val="false"/>
          <w:i w:val="false"/>
          <w:color w:val="000000"/>
          <w:sz w:val="14"/>
        </w:rPr>
        <w:t>[Prior to 7/1/83, Social Services[770] Ch 52]</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441—52.1</w:t>
      </w:r>
      <w:r>
        <w:rPr>
          <w:rFonts w:ascii="Times New Roman" w:hAnsi="Times New Roman"/>
          <w:b/>
          <w:i w:val="false"/>
          <w:color w:val="000000"/>
          <w:sz w:val="22"/>
        </w:rPr>
        <w:t xml:space="preserve">(249) </w:t>
      </w:r>
      <w:r>
        <w:rPr>
          <w:rFonts w:ascii="Times New Roman" w:hAnsi="Times New Roman"/>
          <w:b/>
          <w:i w:val="false"/>
          <w:color w:val="000000"/>
          <w:sz w:val="22"/>
        </w:rPr>
        <w:t xml:space="preserve">Assistance standards. </w:t>
      </w:r>
      <w:r>
        <w:rPr>
          <w:rFonts w:ascii="Times New Roman" w:hAnsi="Times New Roman"/>
          <w:b w:val="false"/>
          <w:i w:val="false"/>
          <w:color w:val="000000"/>
          <w:sz w:val="22"/>
        </w:rPr>
        <w:t>Assistance standards are the amounts of money allowed on a monthly basis to recipients of state supplementary assistance in determining financial need and the amount of assistance granted. Current assistance standards will be published on the department’s website. Assistance standards will be adjusted annually to reflect cost-of-living adjustments (COLA) adopted by the Social Security Administration, in accordance with 20 CFR §416.2095 and 20 CFR §416.2096 as amended to March 15, 2022. Adjustments to the assistance standards based on COLA are effective January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52.1(1)</w:t>
      </w:r>
      <w:r>
        <w:rPr>
          <w:rFonts w:ascii="Times New Roman" w:hAnsi="Times New Roman"/>
          <w:b w:val="false"/>
          <w:i w:val="false"/>
          <w:color w:val="000000"/>
          <w:sz w:val="22"/>
        </w:rPr>
        <w:t> </w:t>
      </w:r>
      <w:r>
        <w:rPr>
          <w:rFonts w:ascii="Times New Roman" w:hAnsi="Times New Roman"/>
          <w:b w:val="false"/>
          <w:i/>
          <w:color w:val="000000"/>
          <w:sz w:val="22"/>
        </w:rPr>
        <w:t xml:space="preserve">Protective living arrangement. </w:t>
      </w:r>
      <w:r>
        <w:rPr>
          <w:rFonts w:ascii="Times New Roman" w:hAnsi="Times New Roman"/>
          <w:b w:val="false"/>
          <w:i w:val="false"/>
          <w:color w:val="000000"/>
          <w:sz w:val="22"/>
        </w:rPr>
        <w:t xml:space="preserve">Assistance standards will be established by the department as provided in this chapter for care and personal allowances for persons living in a family-life home certified under rules in </w:t>
      </w:r>
      <w:hyperlink r:id="rId5">
        <w:r>
          <w:rPr>
            <w:rStyle w:val="Hyperlink"/>
            <w:rFonts w:ascii="Times New Roman" w:hAnsi="Times New Roman"/>
            <w:b w:val="false"/>
            <w:i w:val="false"/>
            <w:color w:val="000000"/>
            <w:sz w:val="22"/>
          </w:rPr>
          <w:t>441—Chapter 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52.1(2)</w:t>
      </w:r>
      <w:r>
        <w:rPr>
          <w:rFonts w:ascii="Times New Roman" w:hAnsi="Times New Roman"/>
          <w:b w:val="false"/>
          <w:i w:val="false"/>
          <w:color w:val="000000"/>
          <w:sz w:val="22"/>
        </w:rPr>
        <w:t> </w:t>
      </w:r>
      <w:r>
        <w:rPr>
          <w:rFonts w:ascii="Times New Roman" w:hAnsi="Times New Roman"/>
          <w:b w:val="false"/>
          <w:i/>
          <w:color w:val="000000"/>
          <w:sz w:val="22"/>
        </w:rPr>
        <w:t xml:space="preserve">Dependent relative. </w:t>
      </w:r>
      <w:r>
        <w:rPr>
          <w:rFonts w:ascii="Times New Roman" w:hAnsi="Times New Roman"/>
          <w:b w:val="false"/>
          <w:i w:val="false"/>
          <w:color w:val="000000"/>
          <w:sz w:val="22"/>
        </w:rPr>
        <w:t>Assistance standards for the following categories will be established by the department as provided in this chapter for state supplementary assistance for dependent relatives residing in a recipient’s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Aged or disabled client and a dependent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Aged or disabled client, eligible spouse, and a dependent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Blind client and a dependent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Blind client, aged or disabled spouse, and a dependent relative.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Blind client, blind spouse, and a dependent relative.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52.1(3)</w:t>
      </w:r>
      <w:r>
        <w:rPr>
          <w:rFonts w:ascii="Times New Roman" w:hAnsi="Times New Roman"/>
          <w:b w:val="false"/>
          <w:i w:val="false"/>
          <w:color w:val="000000"/>
          <w:sz w:val="22"/>
        </w:rPr>
        <w:t> </w:t>
      </w:r>
      <w:r>
        <w:rPr>
          <w:rFonts w:ascii="Times New Roman" w:hAnsi="Times New Roman"/>
          <w:b w:val="false"/>
          <w:i/>
          <w:color w:val="000000"/>
          <w:sz w:val="22"/>
        </w:rPr>
        <w:t xml:space="preserve">Residential care. </w:t>
      </w:r>
      <w:r>
        <w:rPr>
          <w:rFonts w:ascii="Times New Roman" w:hAnsi="Times New Roman"/>
          <w:b w:val="false"/>
          <w:i w:val="false"/>
          <w:color w:val="000000"/>
          <w:sz w:val="22"/>
        </w:rPr>
        <w:t>For periods of eligibility before July 1, 2017, the department will reimburse a recipient in either a privately operated or non-privately operated residential care facility on a flat per diem rate or on a cost-related reimbursement system with a maximum per diem rate established consistent with the assistance standards principles provided in this chapter.</w:t>
      </w:r>
    </w:p>
    <w:p>
      <w:pPr>
        <w:spacing w:before="0" w:after="0"/>
        <w:ind w:left="120"/>
        <w:jc w:val="both"/>
      </w:pPr>
      <w:r>
        <w:rPr>
          <w:rFonts w:ascii="Times New Roman" w:hAnsi="Times New Roman"/>
          <w:b w:val="false"/>
          <w:i w:val="false"/>
          <w:color w:val="000000"/>
          <w:sz w:val="22"/>
        </w:rPr>
        <w:t>For periods of eligibility beginning July 1, 2017, and thereafter, payment to a recipient in a licensed residential care facility will be based on the maximum per diem rate.</w:t>
      </w:r>
    </w:p>
    <w:p>
      <w:pPr>
        <w:spacing w:before="0" w:after="0"/>
        <w:ind w:left="120"/>
        <w:jc w:val="both"/>
      </w:pPr>
      <w:r>
        <w:rPr>
          <w:rFonts w:ascii="Times New Roman" w:hAnsi="Times New Roman"/>
          <w:b w:val="false"/>
          <w:i w:val="false"/>
          <w:color w:val="000000"/>
          <w:sz w:val="22"/>
        </w:rPr>
        <w:t>The facility shall accept the per diem rate established by the department for state supplementary assistance recipients as payment in full from the recipient and make no additional charges to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income of a recipient as described in this subrule after the disregards described in this subrule will be applied to meet the cost of care before payment is made through the state supplementary assistance program.</w:t>
      </w:r>
    </w:p>
    <w:p>
      <w:pPr>
        <w:spacing w:before="0" w:after="0"/>
        <w:ind w:left="120"/>
        <w:jc w:val="both"/>
      </w:pPr>
      <w:r>
        <w:rPr>
          <w:rFonts w:ascii="Times New Roman" w:hAnsi="Times New Roman"/>
          <w:b w:val="false"/>
          <w:i w:val="false"/>
          <w:color w:val="000000"/>
          <w:sz w:val="22"/>
        </w:rPr>
        <w:t>Income applied to meet the cost of care will be the income considered available to the resident pursuant to supplemental security income (SSI) policy plus the SSI benefit less the following monthly disregards applied in the order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income is earned, impairment-related work expenses, as defined by SSI plus $65 plus one-half of any remaining 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allowance established by the department consistent with this chapter will be given to meet personal expenses and Medicaid copayment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there is a spouse at home, the amount of the SSI benefit for an individual minus the spouse’s countable income according to SSI policies. When the spouse at home has been determined eligible for SSI benefits, no income disregard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there is a dependent child living with the spouse at home who meets the definition of a dependent according to the SSI program, the amount of the SSI allowance for a dependent minus the dependent’s countable income and the amount of income from the parent at home that exceeds the SSI benefit for one according to SSI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Established unmet medical needs of the resident, excluding private health insurance premiums and Medicaid copayment expenses. Unmet medical needs of the spouse at home, exclusive of health insurance premiums and Medicaid copayment expenses, will be an additional deduction when the countable income of the spouse at home is not sufficient to cover those expenses. Unmet medical needs of the dependent living with the spouse at home, exclusive of health insurance premiums and Medicaid copayment expenses, will also be deducted when the countable income of the dependent and the income of the parent at home that exceeds the SSI benefit for one is not sufficient to cover the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income of recipients of state supplementary assistance or Medicaid needed to pay the cost of care in another residential care facility, a family-life home, an in-home health-related care provider, a home- and community-based waiver setting, or a medical institution is not available to apply to the cost of care. The income of a resident who lived at home in the month of entry will not be applied to the cost of care except to the extent the income exceeds the SSI benefit for one person or for a married couple if the resident also had a spouse living in the home in the month of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is made for only the days the recipient is a resident of the facility. Payment must be made for the date of entry into the facility, but not the date of death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must be made in the form of a grant to the recipient on a post payment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must not be made when income is sufficient to pay the cost of care in a month with less than 31 days, but the recipient shall remain eligible for all other benefits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periods the resident is absent overnight for the purpose of visitation or vacation. The facility will be paid to hold the bed for a period not to exceed 30 days during any calendar year unless a family member or legal guardian of the resident, the resident’s physician, case manager, or department service worker provides signed documentation that additional visitation days are desired by the resident and are for the benefit of the resident. This documentation shall be obtained by the facility for each period of paid absence that exceeds the 30-day annual limit. This information must be retained in the resident’s personal file. If documentation is not available to justify periods of absence in excess of the 30-day annual limit, the facility shall submit a Case Activity Report, on a form prescribed by the department, to the county office of the department to terminate the state supplementary assistance payment.</w:t>
      </w:r>
    </w:p>
    <w:p>
      <w:pPr>
        <w:spacing w:before="0" w:after="0"/>
        <w:ind w:left="120"/>
        <w:jc w:val="both"/>
      </w:pPr>
      <w:r>
        <w:rPr>
          <w:rFonts w:ascii="Times New Roman" w:hAnsi="Times New Roman"/>
          <w:b w:val="false"/>
          <w:i w:val="false"/>
          <w:color w:val="000000"/>
          <w:sz w:val="22"/>
        </w:rPr>
        <w:t xml:space="preserve">A family member may contribute to the cost of care for a resident subject to supplementation provisions detailed in rule </w:t>
      </w:r>
      <w:hyperlink r:id="rId6">
        <w:r>
          <w:rPr>
            <w:rStyle w:val="Hyperlink"/>
            <w:rFonts w:ascii="Times New Roman" w:hAnsi="Times New Roman"/>
            <w:b w:val="false"/>
            <w:i w:val="false"/>
            <w:color w:val="000000"/>
            <w:sz w:val="22"/>
          </w:rPr>
          <w:t>441—51.2</w:t>
        </w:r>
      </w:hyperlink>
      <w:r>
        <w:rPr>
          <w:rFonts w:ascii="Times New Roman" w:hAnsi="Times New Roman"/>
          <w:b w:val="false"/>
          <w:i w:val="false"/>
          <w:color w:val="000000"/>
          <w:sz w:val="22"/>
        </w:rPr>
        <w:t>(249) and any contributions shall be reported to the county office of the department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a period not to exceed 20 days in any calendar month when the resident is absent due to hospitalization. A resident may not start state supplementary assistance on reserve bed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52.1(4)</w:t>
      </w:r>
      <w:r>
        <w:rPr>
          <w:rFonts w:ascii="Times New Roman" w:hAnsi="Times New Roman"/>
          <w:b w:val="false"/>
          <w:i w:val="false"/>
          <w:color w:val="000000"/>
          <w:sz w:val="22"/>
        </w:rPr>
        <w:t> </w:t>
      </w:r>
      <w:r>
        <w:rPr>
          <w:rFonts w:ascii="Times New Roman" w:hAnsi="Times New Roman"/>
          <w:b w:val="false"/>
          <w:i/>
          <w:color w:val="000000"/>
          <w:sz w:val="22"/>
        </w:rPr>
        <w:t xml:space="preserve">Blind. </w:t>
      </w:r>
      <w:r>
        <w:rPr>
          <w:rFonts w:ascii="Times New Roman" w:hAnsi="Times New Roman"/>
          <w:b w:val="false"/>
          <w:i w:val="false"/>
          <w:color w:val="000000"/>
          <w:sz w:val="22"/>
        </w:rPr>
        <w:t>The standard for a blind recipient not receiving another type of state supplementary assistance is $22 per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52.1(5)</w:t>
      </w:r>
      <w:r>
        <w:rPr>
          <w:rFonts w:ascii="Times New Roman" w:hAnsi="Times New Roman"/>
          <w:b w:val="false"/>
          <w:i w:val="false"/>
          <w:color w:val="000000"/>
          <w:sz w:val="22"/>
        </w:rPr>
        <w:t> </w:t>
      </w:r>
      <w:r>
        <w:rPr>
          <w:rFonts w:ascii="Times New Roman" w:hAnsi="Times New Roman"/>
          <w:b w:val="false"/>
          <w:i/>
          <w:color w:val="000000"/>
          <w:sz w:val="22"/>
        </w:rPr>
        <w:t xml:space="preserve">In-home, health-related care. </w:t>
      </w:r>
      <w:r>
        <w:rPr>
          <w:rFonts w:ascii="Times New Roman" w:hAnsi="Times New Roman"/>
          <w:b w:val="false"/>
          <w:i w:val="false"/>
          <w:color w:val="000000"/>
          <w:sz w:val="22"/>
        </w:rPr>
        <w:t xml:space="preserve">Payment to a person receiving in-home, health-related care must be made in accordance with rules in </w:t>
      </w:r>
      <w:hyperlink r:id="rId7">
        <w:r>
          <w:rPr>
            <w:rStyle w:val="Hyperlink"/>
            <w:rFonts w:ascii="Times New Roman" w:hAnsi="Times New Roman"/>
            <w:b w:val="false"/>
            <w:i w:val="false"/>
            <w:color w:val="000000"/>
            <w:sz w:val="22"/>
          </w:rPr>
          <w:t>441—Chapter 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52.1(6)</w:t>
      </w:r>
      <w:r>
        <w:rPr>
          <w:rFonts w:ascii="Times New Roman" w:hAnsi="Times New Roman"/>
          <w:b w:val="false"/>
          <w:i w:val="false"/>
          <w:color w:val="000000"/>
          <w:sz w:val="22"/>
        </w:rPr>
        <w:t> </w:t>
      </w:r>
      <w:r>
        <w:rPr>
          <w:rFonts w:ascii="Times New Roman" w:hAnsi="Times New Roman"/>
          <w:b w:val="false"/>
          <w:i/>
          <w:color w:val="000000"/>
          <w:sz w:val="22"/>
        </w:rPr>
        <w:t xml:space="preserve">Minimum income level cases. </w:t>
      </w:r>
      <w:r>
        <w:rPr>
          <w:rFonts w:ascii="Times New Roman" w:hAnsi="Times New Roman"/>
          <w:b w:val="false"/>
          <w:i w:val="false"/>
          <w:color w:val="000000"/>
          <w:sz w:val="22"/>
        </w:rPr>
        <w:t>The income level of those persons receiving old age assistance, aid to the blind, and aid to the disabled in December 1973 shall be maintained at the December 1973 level as long as the recipient’s circumstances remain unchanged and that income level is above current standards. In determining the continuing eligibility for the minimum income level, the income limits, resource limits, and exclusions that were in effect in October 1972 shall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52.1(7)</w:t>
      </w:r>
      <w:r>
        <w:rPr>
          <w:rFonts w:ascii="Times New Roman" w:hAnsi="Times New Roman"/>
          <w:b w:val="false"/>
          <w:i w:val="false"/>
          <w:color w:val="000000"/>
          <w:sz w:val="22"/>
        </w:rPr>
        <w:t> </w:t>
      </w:r>
      <w:r>
        <w:rPr>
          <w:rFonts w:ascii="Times New Roman" w:hAnsi="Times New Roman"/>
          <w:b w:val="false"/>
          <w:i/>
          <w:color w:val="000000"/>
          <w:sz w:val="22"/>
        </w:rPr>
        <w:t xml:space="preserve">Supplement for Medicare and Medicaid eligibles. </w:t>
      </w:r>
      <w:r>
        <w:rPr>
          <w:rFonts w:ascii="Times New Roman" w:hAnsi="Times New Roman"/>
          <w:b w:val="false"/>
          <w:i w:val="false"/>
          <w:color w:val="000000"/>
          <w:sz w:val="22"/>
        </w:rPr>
        <w:t>Payment to a person eligible for the supplement for Medicare and Medicaid eligibles shall be $1 per month.</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9306C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emergency 6/9/76—published 6/28/76, effective 7/1/76]</w:t>
      </w:r>
    </w:p>
    <w:p>
      <w:pPr>
        <w:spacing w:before="0" w:after="0"/>
        <w:ind w:left="120"/>
        <w:jc w:val="center"/>
      </w:pPr>
      <w:r>
        <w:rPr>
          <w:rFonts w:ascii="Times New Roman" w:hAnsi="Times New Roman"/>
          <w:b w:val="false"/>
          <w:i w:val="false"/>
          <w:color w:val="000000"/>
          <w:sz w:val="21"/>
        </w:rPr>
        <w:t>[Filed emergency 7/29/76—published 8/23/76, effective 9/1/76]</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12/17/76, Notice 11/3/76—published 1/12/77, effective 3/1/77]</w:t>
      </w:r>
    </w:p>
    <w:p>
      <w:pPr>
        <w:spacing w:before="0" w:after="0"/>
        <w:ind w:left="120"/>
        <w:jc w:val="center"/>
      </w:pPr>
      <w:r>
        <w:rPr>
          <w:rFonts w:ascii="Times New Roman" w:hAnsi="Times New Roman"/>
          <w:b w:val="false"/>
          <w:i w:val="false"/>
          <w:color w:val="000000"/>
          <w:sz w:val="21"/>
        </w:rPr>
        <w:t>[Filed emergency 5/24/77—published 6/15/77, effective 7/1/77]</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emergency 5/8/78—published 5/31/78, effective 5/24/78]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7/17/78, Notice 5/31/78—published 8/9/78, effective 9/13/78]</w:t>
      </w:r>
    </w:p>
    <w:p>
      <w:pPr>
        <w:spacing w:before="0" w:after="0"/>
        <w:ind w:left="120"/>
        <w:jc w:val="center"/>
      </w:pPr>
      <w:r>
        <w:rPr>
          <w:rFonts w:ascii="Times New Roman" w:hAnsi="Times New Roman"/>
          <w:b w:val="false"/>
          <w:i w:val="false"/>
          <w:color w:val="000000"/>
          <w:sz w:val="21"/>
        </w:rPr>
        <w:t>[Filed 11/7/78, Notice 4/19/78—published 11/29/78, effective 1/3/79]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emergency 6/30/81 —published 7/22/81, effective 7/1/81]</w:t>
      </w:r>
    </w:p>
    <w:p>
      <w:pPr>
        <w:spacing w:before="0" w:after="0"/>
        <w:ind w:left="120"/>
        <w:jc w:val="center"/>
      </w:pPr>
      <w:r>
        <w:rPr>
          <w:rFonts w:ascii="Times New Roman" w:hAnsi="Times New Roman"/>
          <w:b w:val="false"/>
          <w:i w:val="false"/>
          <w:color w:val="000000"/>
          <w:sz w:val="21"/>
        </w:rPr>
        <w:t>[Filed 2/26/82, Notice 10/28/81—published 3/17/82, effective 5/1/82]</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emergency 7/1/82—published 7/21/82, effective 7/1/82]</w:t>
      </w:r>
    </w:p>
    <w:p>
      <w:pPr>
        <w:spacing w:before="0" w:after="0"/>
        <w:ind w:left="120"/>
        <w:jc w:val="center"/>
      </w:pPr>
      <w:r>
        <w:rPr>
          <w:rFonts w:ascii="Times New Roman" w:hAnsi="Times New Roman"/>
          <w:b w:val="false"/>
          <w:i w:val="false"/>
          <w:color w:val="000000"/>
          <w:sz w:val="21"/>
        </w:rPr>
        <w:t>[Filed 2/25/83, Notice 1/5/83—published 3/16/83, effective 5/1/83]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emergency 11/18/83, after Notice 10/12/83—published 12/7/83, effective 1/1/84]</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emergency 12/11/84—published 1/2/85, effective 1/1/85]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emergency after Notice 6/14/85, Notice 5/8/85—published 7/3/85, effective 8/1/85]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emergency 12/2/85—published 12/18/85, effective 1/1/86]</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emergency 12/22/86—published 1/14/87, effective 1/1/87]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12/10/87—published 12/30/87, effective 1/1/88]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emergency 12/8/88—published 12/28/88, effective 1/1/89]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11/16/89—published 12/13/89, effective 1/1/90]</w:t>
      </w:r>
    </w:p>
    <w:p>
      <w:pPr>
        <w:spacing w:before="0" w:after="0"/>
        <w:ind w:left="120"/>
        <w:jc w:val="center"/>
      </w:pPr>
      <w:r>
        <w:rPr>
          <w:rFonts w:ascii="Times New Roman" w:hAnsi="Times New Roman"/>
          <w:b w:val="false"/>
          <w:i w:val="false"/>
          <w:color w:val="000000"/>
          <w:sz w:val="21"/>
        </w:rPr>
        <w:t>[Filed 2/16/90, Notice 12/13/89—published 3/7/90, effective 5/1/90]</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emergency 12/13/90—published 1/9/91, effective 1/1/91]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2/14/91, Notice 1/9/91—published 3/6/91, effective 5/1/91]</w:t>
      </w:r>
    </w:p>
    <w:p>
      <w:pPr>
        <w:spacing w:before="0" w:after="0"/>
        <w:ind w:left="120"/>
        <w:jc w:val="center"/>
      </w:pPr>
      <w:r>
        <w:rPr>
          <w:rFonts w:ascii="Times New Roman" w:hAnsi="Times New Roman"/>
          <w:b w:val="false"/>
          <w:i w:val="false"/>
          <w:color w:val="000000"/>
          <w:sz w:val="21"/>
        </w:rPr>
        <w:t>[Filed 4/11/91, Notice 3/6/91—published 5/1/91, effective 7/1/91]</w:t>
      </w:r>
    </w:p>
    <w:p>
      <w:pPr>
        <w:spacing w:before="0" w:after="0"/>
        <w:ind w:left="120"/>
        <w:jc w:val="center"/>
      </w:pPr>
      <w:r>
        <w:rPr>
          <w:rFonts w:ascii="Times New Roman" w:hAnsi="Times New Roman"/>
          <w:b w:val="false"/>
          <w:i w:val="false"/>
          <w:color w:val="000000"/>
          <w:sz w:val="21"/>
        </w:rPr>
        <w:t>[Filed 9/18/91, Notice 7/24/91—published 10/16/91, effective 12/1/91]</w:t>
      </w:r>
    </w:p>
    <w:p>
      <w:pPr>
        <w:spacing w:before="0" w:after="0"/>
        <w:ind w:left="120"/>
        <w:jc w:val="center"/>
      </w:pPr>
      <w:r>
        <w:rPr>
          <w:rFonts w:ascii="Times New Roman" w:hAnsi="Times New Roman"/>
          <w:b w:val="false"/>
          <w:i w:val="false"/>
          <w:color w:val="000000"/>
          <w:sz w:val="21"/>
        </w:rPr>
        <w:t>[Filed emergency 12/11/91—published 1/8/92, effective 1/1/92]</w:t>
      </w:r>
    </w:p>
    <w:p>
      <w:pPr>
        <w:spacing w:before="0" w:after="0"/>
        <w:ind w:left="120"/>
        <w:jc w:val="center"/>
      </w:pPr>
      <w:r>
        <w:rPr>
          <w:rFonts w:ascii="Times New Roman" w:hAnsi="Times New Roman"/>
          <w:b w:val="false"/>
          <w:i w:val="false"/>
          <w:color w:val="000000"/>
          <w:sz w:val="21"/>
        </w:rPr>
        <w:t>[Filed 12/11/91, Notice 10/16/91—published 1/8/92, effective 3/1/92]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2/13/92, Notice 1/8/92—published 3/4/92, effective 5/1/92]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4/16/92, Notice 1/8/92—published 5/13/92, effective 7/1/92]</w:t>
      </w:r>
    </w:p>
    <w:p>
      <w:pPr>
        <w:spacing w:before="0" w:after="0"/>
        <w:ind w:left="120"/>
        <w:jc w:val="center"/>
      </w:pPr>
      <w:r>
        <w:rPr>
          <w:rFonts w:ascii="Times New Roman" w:hAnsi="Times New Roman"/>
          <w:b w:val="false"/>
          <w:i w:val="false"/>
          <w:color w:val="000000"/>
          <w:sz w:val="21"/>
        </w:rPr>
        <w:t>[Filed emergency 12/1/92—published 12/23/92, effective 1/1/93]</w:t>
      </w:r>
    </w:p>
    <w:p>
      <w:pPr>
        <w:spacing w:before="0" w:after="0"/>
        <w:ind w:left="120"/>
        <w:jc w:val="center"/>
      </w:pPr>
      <w:r>
        <w:rPr>
          <w:rFonts w:ascii="Times New Roman" w:hAnsi="Times New Roman"/>
          <w:b w:val="false"/>
          <w:i w:val="false"/>
          <w:color w:val="000000"/>
          <w:sz w:val="21"/>
        </w:rPr>
        <w:t>[Filed 2/10/93, Notice 12/23/92—published 3/3/93, effective 5/1/93]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emergency 12/16/93—published 1/5/94, effective 1/1/94]</w:t>
      </w:r>
    </w:p>
    <w:p>
      <w:pPr>
        <w:spacing w:before="0" w:after="0"/>
        <w:ind w:left="120"/>
        <w:jc w:val="center"/>
      </w:pPr>
      <w:r>
        <w:rPr>
          <w:rFonts w:ascii="Times New Roman" w:hAnsi="Times New Roman"/>
          <w:b w:val="false"/>
          <w:i w:val="false"/>
          <w:color w:val="000000"/>
          <w:sz w:val="21"/>
        </w:rPr>
        <w:t>[Filed 12/16/93, Notice 10/27/93—published 1/5/94, effective 3/1/94]</w:t>
      </w:r>
    </w:p>
    <w:p>
      <w:pPr>
        <w:spacing w:before="0" w:after="0"/>
        <w:ind w:left="120"/>
        <w:jc w:val="center"/>
      </w:pPr>
      <w:r>
        <w:rPr>
          <w:rFonts w:ascii="Times New Roman" w:hAnsi="Times New Roman"/>
          <w:b w:val="false"/>
          <w:i w:val="false"/>
          <w:color w:val="000000"/>
          <w:sz w:val="21"/>
        </w:rPr>
        <w:t>[Filed 2/10/94, Notice 1/5/94—published 3/2/94, effective 5/1/94]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10/12/94—published 11/9/94, effective 11/1/94]</w:t>
      </w:r>
    </w:p>
    <w:p>
      <w:pPr>
        <w:spacing w:before="0" w:after="0"/>
        <w:ind w:left="120"/>
        <w:jc w:val="center"/>
      </w:pPr>
      <w:r>
        <w:rPr>
          <w:rFonts w:ascii="Times New Roman" w:hAnsi="Times New Roman"/>
          <w:b w:val="false"/>
          <w:i w:val="false"/>
          <w:color w:val="000000"/>
          <w:sz w:val="21"/>
        </w:rPr>
        <w:t>[Filed emergency 12/15/94—published 1/4/95, effective 1/1/95]</w:t>
      </w:r>
    </w:p>
    <w:p>
      <w:pPr>
        <w:spacing w:before="0" w:after="0"/>
        <w:ind w:left="120"/>
        <w:jc w:val="center"/>
      </w:pPr>
      <w:r>
        <w:rPr>
          <w:rFonts w:ascii="Times New Roman" w:hAnsi="Times New Roman"/>
          <w:b w:val="false"/>
          <w:i w:val="false"/>
          <w:color w:val="000000"/>
          <w:sz w:val="21"/>
        </w:rPr>
        <w:t>[Filed 12/15/94, Notice 11/9/94—published 1/4/95, effective 3/1/95]</w:t>
      </w:r>
    </w:p>
    <w:p>
      <w:pPr>
        <w:spacing w:before="0" w:after="0"/>
        <w:ind w:left="120"/>
        <w:jc w:val="center"/>
      </w:pPr>
      <w:r>
        <w:rPr>
          <w:rFonts w:ascii="Times New Roman" w:hAnsi="Times New Roman"/>
          <w:b w:val="false"/>
          <w:i w:val="false"/>
          <w:color w:val="000000"/>
          <w:sz w:val="21"/>
        </w:rPr>
        <w:t>[Filed 2/16/95, Notice 1/4/95—published 3/15/95, effective 5/1/95]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emergency 10/31/95—published 11/22/95, effective 11/1/95]</w:t>
      </w:r>
    </w:p>
    <w:p>
      <w:pPr>
        <w:spacing w:before="0" w:after="0"/>
        <w:ind w:left="120"/>
        <w:jc w:val="center"/>
      </w:pPr>
      <w:r>
        <w:rPr>
          <w:rFonts w:ascii="Times New Roman" w:hAnsi="Times New Roman"/>
          <w:b w:val="false"/>
          <w:i w:val="false"/>
          <w:color w:val="000000"/>
          <w:sz w:val="21"/>
        </w:rPr>
        <w:t>[Filed emergency 12/12/95—published 1/3/96, effective 1/1/96]</w:t>
      </w:r>
    </w:p>
    <w:p>
      <w:pPr>
        <w:spacing w:before="0" w:after="0"/>
        <w:ind w:left="120"/>
        <w:jc w:val="center"/>
      </w:pPr>
      <w:r>
        <w:rPr>
          <w:rFonts w:ascii="Times New Roman" w:hAnsi="Times New Roman"/>
          <w:b w:val="false"/>
          <w:i w:val="false"/>
          <w:color w:val="000000"/>
          <w:sz w:val="21"/>
        </w:rPr>
        <w:t>[Filed 1/10/96, Notice 11/22/95—published 1/31/96, effective 4/1/96]</w:t>
      </w:r>
    </w:p>
    <w:p>
      <w:pPr>
        <w:spacing w:before="0" w:after="0"/>
        <w:ind w:left="120"/>
        <w:jc w:val="center"/>
      </w:pPr>
      <w:r>
        <w:rPr>
          <w:rFonts w:ascii="Times New Roman" w:hAnsi="Times New Roman"/>
          <w:b w:val="false"/>
          <w:i w:val="false"/>
          <w:color w:val="000000"/>
          <w:sz w:val="21"/>
        </w:rPr>
        <w:t>[Filed 2/14/96, Notice 1/3/96—published 3/13/96, effective 5/1/96]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emergency 12/12/96—published 1/1/97, effective 1/1/97]</w:t>
      </w:r>
    </w:p>
    <w:p>
      <w:pPr>
        <w:spacing w:before="0" w:after="0"/>
        <w:ind w:left="120"/>
        <w:jc w:val="center"/>
      </w:pPr>
      <w:r>
        <w:rPr>
          <w:rFonts w:ascii="Times New Roman" w:hAnsi="Times New Roman"/>
          <w:b w:val="false"/>
          <w:i w:val="false"/>
          <w:color w:val="000000"/>
          <w:sz w:val="21"/>
        </w:rPr>
        <w:t>[Filed 2/12/97, Notice 1/1/97—published 3/12/97, effective 5/1/97]</w:t>
      </w:r>
    </w:p>
    <w:p>
      <w:pPr>
        <w:spacing w:before="0" w:after="0"/>
        <w:ind w:left="120"/>
        <w:jc w:val="center"/>
      </w:pPr>
      <w:r>
        <w:rPr>
          <w:rFonts w:ascii="Times New Roman" w:hAnsi="Times New Roman"/>
          <w:b w:val="false"/>
          <w:i w:val="false"/>
          <w:color w:val="000000"/>
          <w:sz w:val="21"/>
        </w:rPr>
        <w:t>[Filed emergency 3/12/97—published 4/9/97, effective 4/1/97]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5/14/97, Notice 4/9/97—published 6/4/97, effective 8/1/97]</w:t>
      </w:r>
    </w:p>
    <w:p>
      <w:pPr>
        <w:spacing w:before="0" w:after="0"/>
        <w:ind w:left="120"/>
        <w:jc w:val="center"/>
      </w:pPr>
      <w:r>
        <w:rPr>
          <w:rFonts w:ascii="Times New Roman" w:hAnsi="Times New Roman"/>
          <w:b w:val="false"/>
          <w:i w:val="false"/>
          <w:color w:val="000000"/>
          <w:sz w:val="21"/>
        </w:rPr>
        <w:t>[Filed emergency 12/10/97—published 12/31/97, effective 1/1/98]</w:t>
      </w:r>
    </w:p>
    <w:p>
      <w:pPr>
        <w:spacing w:before="0" w:after="0"/>
        <w:ind w:left="120"/>
        <w:jc w:val="center"/>
      </w:pPr>
      <w:r>
        <w:rPr>
          <w:rFonts w:ascii="Times New Roman" w:hAnsi="Times New Roman"/>
          <w:b w:val="false"/>
          <w:i w:val="false"/>
          <w:color w:val="000000"/>
          <w:sz w:val="21"/>
        </w:rPr>
        <w:t>[Filed 2/11/98, Notice 12/31/97—published 3/11/98, effective 5/1/98]</w:t>
      </w:r>
    </w:p>
    <w:p>
      <w:pPr>
        <w:spacing w:before="0" w:after="0"/>
        <w:ind w:left="120"/>
        <w:jc w:val="center"/>
      </w:pPr>
      <w:r>
        <w:rPr>
          <w:rFonts w:ascii="Times New Roman" w:hAnsi="Times New Roman"/>
          <w:b w:val="false"/>
          <w:i w:val="false"/>
          <w:color w:val="000000"/>
          <w:sz w:val="21"/>
        </w:rPr>
        <w:t>[Filed emergency 12/9/98—published 12/30/98, effective 1/1/99]</w:t>
      </w:r>
    </w:p>
    <w:p>
      <w:pPr>
        <w:spacing w:before="0" w:after="0"/>
        <w:ind w:left="120"/>
        <w:jc w:val="center"/>
      </w:pPr>
      <w:r>
        <w:rPr>
          <w:rFonts w:ascii="Times New Roman" w:hAnsi="Times New Roman"/>
          <w:b w:val="false"/>
          <w:i w:val="false"/>
          <w:color w:val="000000"/>
          <w:sz w:val="21"/>
        </w:rPr>
        <w:t>[Filed 2/10/99, Notice 12/30/98—published 3/10/99, effective 4/15/99]</w:t>
      </w:r>
    </w:p>
    <w:p>
      <w:pPr>
        <w:spacing w:before="0" w:after="0"/>
        <w:ind w:left="120"/>
        <w:jc w:val="center"/>
      </w:pPr>
      <w:r>
        <w:rPr>
          <w:rFonts w:ascii="Times New Roman" w:hAnsi="Times New Roman"/>
          <w:b w:val="false"/>
          <w:i w:val="false"/>
          <w:color w:val="000000"/>
          <w:sz w:val="21"/>
        </w:rPr>
        <w:t>[Filed emergency 12/8/99—published 12/29/99, effective 1/1/00]</w:t>
      </w:r>
    </w:p>
    <w:p>
      <w:pPr>
        <w:spacing w:before="0" w:after="0"/>
        <w:ind w:left="120"/>
        <w:jc w:val="center"/>
      </w:pPr>
      <w:r>
        <w:rPr>
          <w:rFonts w:ascii="Times New Roman" w:hAnsi="Times New Roman"/>
          <w:b w:val="false"/>
          <w:i w:val="false"/>
          <w:color w:val="000000"/>
          <w:sz w:val="21"/>
        </w:rPr>
        <w:t>[Filed 2/9/00, Notice 12/29/99—published 3/8/00, effective 5/1/00]</w:t>
      </w:r>
    </w:p>
    <w:p>
      <w:pPr>
        <w:spacing w:before="0" w:after="0"/>
        <w:ind w:left="120"/>
        <w:jc w:val="center"/>
      </w:pPr>
      <w:r>
        <w:rPr>
          <w:rFonts w:ascii="Times New Roman" w:hAnsi="Times New Roman"/>
          <w:b w:val="false"/>
          <w:i w:val="false"/>
          <w:color w:val="000000"/>
          <w:sz w:val="21"/>
        </w:rPr>
        <w:t>[Filed emergency 7/13/00—published 8/9/00, effective 8/1/00]</w:t>
      </w:r>
    </w:p>
    <w:p>
      <w:pPr>
        <w:spacing w:before="0" w:after="0"/>
        <w:ind w:left="120"/>
        <w:jc w:val="center"/>
      </w:pPr>
      <w:r>
        <w:rPr>
          <w:rFonts w:ascii="Times New Roman" w:hAnsi="Times New Roman"/>
          <w:b w:val="false"/>
          <w:i w:val="false"/>
          <w:color w:val="000000"/>
          <w:sz w:val="21"/>
        </w:rPr>
        <w:t>[Filed emergency 10/11/00—published 11/1/00, effective 11/15/00]</w:t>
      </w:r>
    </w:p>
    <w:p>
      <w:pPr>
        <w:spacing w:before="0" w:after="0"/>
        <w:ind w:left="120"/>
        <w:jc w:val="center"/>
      </w:pPr>
      <w:r>
        <w:rPr>
          <w:rFonts w:ascii="Times New Roman" w:hAnsi="Times New Roman"/>
          <w:b w:val="false"/>
          <w:i w:val="false"/>
          <w:color w:val="000000"/>
          <w:sz w:val="21"/>
        </w:rPr>
        <w:t>[Filed 11/8/00, Notice 8/9/00—published 11/29/00, effective 2/1/01]</w:t>
      </w:r>
    </w:p>
    <w:p>
      <w:pPr>
        <w:spacing w:before="0" w:after="0"/>
        <w:ind w:left="120"/>
        <w:jc w:val="center"/>
      </w:pPr>
      <w:r>
        <w:rPr>
          <w:rFonts w:ascii="Times New Roman" w:hAnsi="Times New Roman"/>
          <w:b w:val="false"/>
          <w:i w:val="false"/>
          <w:color w:val="000000"/>
          <w:sz w:val="21"/>
        </w:rPr>
        <w:t>[Filed emergency 12/14/00—published 1/10/01, effective 1/1/01]</w:t>
      </w:r>
    </w:p>
    <w:p>
      <w:pPr>
        <w:spacing w:before="0" w:after="0"/>
        <w:ind w:left="120"/>
        <w:jc w:val="center"/>
      </w:pPr>
      <w:r>
        <w:rPr>
          <w:rFonts w:ascii="Times New Roman" w:hAnsi="Times New Roman"/>
          <w:b w:val="false"/>
          <w:i w:val="false"/>
          <w:color w:val="000000"/>
          <w:sz w:val="21"/>
        </w:rPr>
        <w:t>[Filed 2/14/01, Notice 1/10/01—published 3/7/01, effective 5/1/01]</w:t>
      </w:r>
    </w:p>
    <w:p>
      <w:pPr>
        <w:spacing w:before="0" w:after="0"/>
        <w:ind w:left="120"/>
        <w:jc w:val="center"/>
      </w:pPr>
      <w:r>
        <w:rPr>
          <w:rFonts w:ascii="Times New Roman" w:hAnsi="Times New Roman"/>
          <w:b w:val="false"/>
          <w:i w:val="false"/>
          <w:color w:val="000000"/>
          <w:sz w:val="21"/>
        </w:rPr>
        <w:t>[Filed emergency 4/11/01—published 5/2/01, effective 5/1/01]</w:t>
      </w:r>
    </w:p>
    <w:p>
      <w:pPr>
        <w:spacing w:before="0" w:after="0"/>
        <w:ind w:left="120"/>
        <w:jc w:val="center"/>
      </w:pPr>
      <w:r>
        <w:rPr>
          <w:rFonts w:ascii="Times New Roman" w:hAnsi="Times New Roman"/>
          <w:b w:val="false"/>
          <w:i w:val="false"/>
          <w:color w:val="000000"/>
          <w:sz w:val="21"/>
        </w:rPr>
        <w:t>[Filed 6/13/01, Notice 5/2/01—published 7/11/01, effective 9/1/01]</w:t>
      </w:r>
    </w:p>
    <w:p>
      <w:pPr>
        <w:spacing w:before="0" w:after="0"/>
        <w:ind w:left="120"/>
        <w:jc w:val="center"/>
      </w:pPr>
      <w:r>
        <w:rPr>
          <w:rFonts w:ascii="Times New Roman" w:hAnsi="Times New Roman"/>
          <w:b w:val="false"/>
          <w:i w:val="false"/>
          <w:color w:val="000000"/>
          <w:sz w:val="21"/>
        </w:rPr>
        <w:t>[Filed emergency 7/11/01—published 8/8/01, effective 8/1/01]</w:t>
      </w:r>
    </w:p>
    <w:p>
      <w:pPr>
        <w:spacing w:before="0" w:after="0"/>
        <w:ind w:left="120"/>
        <w:jc w:val="center"/>
      </w:pPr>
      <w:r>
        <w:rPr>
          <w:rFonts w:ascii="Times New Roman" w:hAnsi="Times New Roman"/>
          <w:b w:val="false"/>
          <w:i w:val="false"/>
          <w:color w:val="000000"/>
          <w:sz w:val="21"/>
        </w:rPr>
        <w:t>[Filed 10/10/01, Notice 8/8/01—published 10/31/01, effective 1/1/02]</w:t>
      </w:r>
    </w:p>
    <w:p>
      <w:pPr>
        <w:spacing w:before="0" w:after="0"/>
        <w:ind w:left="120"/>
        <w:jc w:val="center"/>
      </w:pPr>
      <w:r>
        <w:rPr>
          <w:rFonts w:ascii="Times New Roman" w:hAnsi="Times New Roman"/>
          <w:b w:val="false"/>
          <w:i w:val="false"/>
          <w:color w:val="000000"/>
          <w:sz w:val="21"/>
        </w:rPr>
        <w:t>[Filed emergency 12/12/01—published 1/9/02, effective 1/1/02]</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emergency 5/9/02—published 5/29/02, effective 6/1/02]</w:t>
      </w:r>
    </w:p>
    <w:p>
      <w:pPr>
        <w:spacing w:before="0" w:after="0"/>
        <w:ind w:left="120"/>
        <w:jc w:val="center"/>
      </w:pPr>
      <w:r>
        <w:rPr>
          <w:rFonts w:ascii="Times New Roman" w:hAnsi="Times New Roman"/>
          <w:b w:val="false"/>
          <w:i w:val="false"/>
          <w:color w:val="000000"/>
          <w:sz w:val="21"/>
        </w:rPr>
        <w:t>[Filed 7/15/02, Notice 5/29/02—published 8/7/02, effective 10/1/02]</w:t>
      </w:r>
    </w:p>
    <w:p>
      <w:pPr>
        <w:spacing w:before="0" w:after="0"/>
        <w:ind w:left="120"/>
        <w:jc w:val="center"/>
      </w:pPr>
      <w:r>
        <w:rPr>
          <w:rFonts w:ascii="Times New Roman" w:hAnsi="Times New Roman"/>
          <w:b w:val="false"/>
          <w:i w:val="false"/>
          <w:color w:val="000000"/>
          <w:sz w:val="21"/>
        </w:rPr>
        <w:t>[Filed emergency 12/12/02—published 1/8/03, effective 1/1/03]</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11/19/03, Notice 10/1/03—published 12/10/03, effective 2/1/04]</w:t>
      </w:r>
    </w:p>
    <w:p>
      <w:pPr>
        <w:spacing w:before="0" w:after="0"/>
        <w:ind w:left="120"/>
        <w:jc w:val="center"/>
      </w:pPr>
      <w:r>
        <w:rPr>
          <w:rFonts w:ascii="Times New Roman" w:hAnsi="Times New Roman"/>
          <w:b w:val="false"/>
          <w:i w:val="false"/>
          <w:color w:val="000000"/>
          <w:sz w:val="21"/>
        </w:rPr>
        <w:t>[Filed emergency 8/12/04 after Notice 6/23/04—published 9/1/04, effective 8/12/04]</w:t>
      </w:r>
    </w:p>
    <w:p>
      <w:pPr>
        <w:spacing w:before="0" w:after="0"/>
        <w:ind w:left="120"/>
        <w:jc w:val="center"/>
      </w:pPr>
      <w:r>
        <w:rPr>
          <w:rFonts w:ascii="Times New Roman" w:hAnsi="Times New Roman"/>
          <w:b w:val="false"/>
          <w:i w:val="false"/>
          <w:color w:val="000000"/>
          <w:sz w:val="21"/>
        </w:rPr>
        <w:t>[Filed emergency 12/14/04—published 1/5/05, effective 1/1/05]</w:t>
      </w:r>
    </w:p>
    <w:p>
      <w:pPr>
        <w:spacing w:before="0" w:after="0"/>
        <w:ind w:left="120"/>
        <w:jc w:val="center"/>
      </w:pPr>
      <w:r>
        <w:rPr>
          <w:rFonts w:ascii="Times New Roman" w:hAnsi="Times New Roman"/>
          <w:b w:val="false"/>
          <w:i w:val="false"/>
          <w:color w:val="000000"/>
          <w:sz w:val="21"/>
        </w:rPr>
        <w:t>[Filed 2/10/05, Notice 1/5/05—published 3/2/05, effective 4/6/05]</w:t>
      </w:r>
    </w:p>
    <w:p>
      <w:pPr>
        <w:spacing w:before="0" w:after="0"/>
        <w:ind w:left="120"/>
        <w:jc w:val="center"/>
      </w:pPr>
      <w:r>
        <w:rPr>
          <w:rFonts w:ascii="Times New Roman" w:hAnsi="Times New Roman"/>
          <w:b w:val="false"/>
          <w:i w:val="false"/>
          <w:color w:val="000000"/>
          <w:sz w:val="21"/>
        </w:rPr>
        <w:t>[Filed emergency 12/14/05—published 1/4/06, effective 1/1/06]</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3/14/07, Notice 1/3/07—published 4/11/07, effective 5/16/07]</w:t>
      </w:r>
    </w:p>
    <w:p>
      <w:pPr>
        <w:spacing w:before="0" w:after="0"/>
        <w:ind w:left="120"/>
        <w:jc w:val="center"/>
      </w:pPr>
      <w:r>
        <w:rPr>
          <w:rFonts w:ascii="Times New Roman" w:hAnsi="Times New Roman"/>
          <w:b w:val="false"/>
          <w:i w:val="false"/>
          <w:color w:val="000000"/>
          <w:sz w:val="21"/>
        </w:rPr>
        <w:t>[Filed emergency 12/12/07—published 1/2/08, effective 1/1/08]</w:t>
      </w:r>
    </w:p>
    <w:p>
      <w:pPr>
        <w:spacing w:before="0" w:after="0"/>
        <w:ind w:left="120"/>
        <w:jc w:val="center"/>
      </w:pPr>
      <w:r>
        <w:rPr>
          <w:rFonts w:ascii="Times New Roman" w:hAnsi="Times New Roman"/>
          <w:b w:val="false"/>
          <w:i w:val="false"/>
          <w:color w:val="000000"/>
          <w:sz w:val="21"/>
        </w:rPr>
        <w:t>[Filed 3/12/08, Notice 1/2/08—published 4/9/08, effective 5/14/08]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7605B</w:t>
      </w:r>
      <w:r>
        <w:rPr>
          <w:rFonts w:ascii="Times New Roman" w:hAnsi="Times New Roman"/>
          <w:b w:val="false"/>
          <w:i w:val="false"/>
          <w:color w:val="000000"/>
          <w:sz w:val="21"/>
        </w:rPr>
        <w:t xml:space="preserve"> (Notice ARC 7472B, IAB 12/31/08)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Without Notice ARC 8440B, IAB 1/13/10, effective 3/1/10]</w:t>
      </w:r>
    </w:p>
    <w:p>
      <w:pPr>
        <w:spacing w:before="0" w:after="0"/>
        <w:ind w:left="120"/>
        <w:jc w:val="center"/>
      </w:pPr>
      <w:r>
        <w:rPr>
          <w:rFonts w:ascii="Times New Roman" w:hAnsi="Times New Roman"/>
          <w:b w:val="false"/>
          <w:i w:val="false"/>
          <w:color w:val="000000"/>
          <w:sz w:val="21"/>
        </w:rPr>
        <w:t>[Filed Emergency ARC 9965B, IAB 1/11/12, effective 1/1/12]</w:t>
      </w:r>
    </w:p>
    <w:p>
      <w:pPr>
        <w:spacing w:before="0" w:after="0"/>
        <w:ind w:left="120"/>
        <w:jc w:val="center"/>
      </w:pPr>
      <w:r>
        <w:rPr>
          <w:rFonts w:ascii="Times New Roman" w:hAnsi="Times New Roman"/>
          <w:b w:val="false"/>
          <w:i w:val="false"/>
          <w:color w:val="000000"/>
          <w:sz w:val="21"/>
        </w:rPr>
        <w:t>[Filed ARC 0064C</w:t>
      </w:r>
      <w:r>
        <w:rPr>
          <w:rFonts w:ascii="Times New Roman" w:hAnsi="Times New Roman"/>
          <w:b w:val="false"/>
          <w:i w:val="false"/>
          <w:color w:val="000000"/>
          <w:sz w:val="21"/>
        </w:rPr>
        <w:t xml:space="preserve"> (Notice ARC 9964B, IAB 1/11/12)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Emergency ARC 0489C, IAB 12/12/12, effective 1/1/13]</w:t>
      </w:r>
    </w:p>
    <w:p>
      <w:pPr>
        <w:spacing w:before="0" w:after="0"/>
        <w:ind w:left="120"/>
        <w:jc w:val="center"/>
      </w:pPr>
      <w:r>
        <w:rPr>
          <w:rFonts w:ascii="Times New Roman" w:hAnsi="Times New Roman"/>
          <w:b w:val="false"/>
          <w:i w:val="false"/>
          <w:color w:val="000000"/>
          <w:sz w:val="21"/>
        </w:rPr>
        <w:t>[Filed ARC 0633C</w:t>
      </w:r>
      <w:r>
        <w:rPr>
          <w:rFonts w:ascii="Times New Roman" w:hAnsi="Times New Roman"/>
          <w:b w:val="false"/>
          <w:i w:val="false"/>
          <w:color w:val="000000"/>
          <w:sz w:val="21"/>
        </w:rPr>
        <w:t xml:space="preserve"> (Notice ARC 0488C, IAB 12/12/12)</w:t>
      </w:r>
      <w:r>
        <w:rPr>
          <w:rFonts w:ascii="Times New Roman" w:hAnsi="Times New Roman"/>
          <w:b w:val="false"/>
          <w:i w:val="false"/>
          <w:color w:val="000000"/>
          <w:sz w:val="21"/>
        </w:rPr>
        <w:t>, IAB 3/6/13, effective 5/1/13]</w:t>
      </w:r>
    </w:p>
    <w:p>
      <w:pPr>
        <w:spacing w:before="0" w:after="0"/>
        <w:ind w:left="120"/>
        <w:jc w:val="center"/>
      </w:pPr>
      <w:r>
        <w:rPr>
          <w:rFonts w:ascii="Times New Roman" w:hAnsi="Times New Roman"/>
          <w:b w:val="false"/>
          <w:i w:val="false"/>
          <w:color w:val="000000"/>
          <w:sz w:val="21"/>
        </w:rPr>
        <w:t>[Filed Emergency ARC 1268C, IAB 1/8/14, effective 1/1/14]</w:t>
      </w:r>
    </w:p>
    <w:p>
      <w:pPr>
        <w:spacing w:before="0" w:after="0"/>
        <w:ind w:left="120"/>
        <w:jc w:val="center"/>
      </w:pPr>
      <w:r>
        <w:rPr>
          <w:rFonts w:ascii="Times New Roman" w:hAnsi="Times New Roman"/>
          <w:b w:val="false"/>
          <w:i w:val="false"/>
          <w:color w:val="000000"/>
          <w:sz w:val="21"/>
        </w:rPr>
        <w:t>[Filed ARC 1352C</w:t>
      </w:r>
      <w:r>
        <w:rPr>
          <w:rFonts w:ascii="Times New Roman" w:hAnsi="Times New Roman"/>
          <w:b w:val="false"/>
          <w:i w:val="false"/>
          <w:color w:val="000000"/>
          <w:sz w:val="21"/>
        </w:rPr>
        <w:t xml:space="preserve"> (Notice ARC 1267C,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Emergency ARC 1813C, IAB 1/7/15, effective 1/1/15]</w:t>
      </w:r>
    </w:p>
    <w:p>
      <w:pPr>
        <w:spacing w:before="0" w:after="0"/>
        <w:ind w:left="120"/>
        <w:jc w:val="center"/>
      </w:pPr>
      <w:r>
        <w:rPr>
          <w:rFonts w:ascii="Times New Roman" w:hAnsi="Times New Roman"/>
          <w:b w:val="false"/>
          <w:i w:val="false"/>
          <w:color w:val="000000"/>
          <w:sz w:val="21"/>
        </w:rPr>
        <w:t>[Filed ARC 1892C</w:t>
      </w:r>
      <w:r>
        <w:rPr>
          <w:rFonts w:ascii="Times New Roman" w:hAnsi="Times New Roman"/>
          <w:b w:val="false"/>
          <w:i w:val="false"/>
          <w:color w:val="000000"/>
          <w:sz w:val="21"/>
        </w:rPr>
        <w:t xml:space="preserve"> (Notice ARC 1812C, IAB 1/7/15)</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Emergency ARC 2363C, IAB 1/6/16, effective 1/1/16]</w:t>
      </w:r>
    </w:p>
    <w:p>
      <w:pPr>
        <w:spacing w:before="0" w:after="0"/>
        <w:ind w:left="120"/>
        <w:jc w:val="center"/>
      </w:pPr>
      <w:r>
        <w:rPr>
          <w:rFonts w:ascii="Times New Roman" w:hAnsi="Times New Roman"/>
          <w:b w:val="false"/>
          <w:i w:val="false"/>
          <w:color w:val="000000"/>
          <w:sz w:val="21"/>
        </w:rPr>
        <w:t>[Filed ARC 2426C</w:t>
      </w:r>
      <w:r>
        <w:rPr>
          <w:rFonts w:ascii="Times New Roman" w:hAnsi="Times New Roman"/>
          <w:b w:val="false"/>
          <w:i w:val="false"/>
          <w:color w:val="000000"/>
          <w:sz w:val="21"/>
        </w:rPr>
        <w:t xml:space="preserve"> (Notice ARC 2362C, IAB 1/6/16)</w:t>
      </w:r>
      <w:r>
        <w:rPr>
          <w:rFonts w:ascii="Times New Roman" w:hAnsi="Times New Roman"/>
          <w:b w:val="false"/>
          <w:i w:val="false"/>
          <w:color w:val="000000"/>
          <w:sz w:val="21"/>
        </w:rPr>
        <w:t>, IAB 3/2/16, effective 4/6/16]</w:t>
      </w:r>
    </w:p>
    <w:p>
      <w:pPr>
        <w:spacing w:before="0" w:after="0"/>
        <w:ind w:left="120"/>
        <w:jc w:val="center"/>
      </w:pPr>
      <w:r>
        <w:rPr>
          <w:rFonts w:ascii="Times New Roman" w:hAnsi="Times New Roman"/>
          <w:b w:val="false"/>
          <w:i w:val="false"/>
          <w:color w:val="000000"/>
          <w:sz w:val="21"/>
        </w:rPr>
        <w:t>[Filed Emergency ARC 2891C, IAB 1/4/17, effective 1/1/17]</w:t>
      </w:r>
    </w:p>
    <w:p>
      <w:pPr>
        <w:spacing w:before="0" w:after="0"/>
        <w:ind w:left="120"/>
        <w:jc w:val="center"/>
      </w:pPr>
      <w:r>
        <w:rPr>
          <w:rFonts w:ascii="Times New Roman" w:hAnsi="Times New Roman"/>
          <w:b w:val="false"/>
          <w:i w:val="false"/>
          <w:color w:val="000000"/>
          <w:sz w:val="21"/>
        </w:rPr>
        <w:t>[Filed ARC 2958C</w:t>
      </w:r>
      <w:r>
        <w:rPr>
          <w:rFonts w:ascii="Times New Roman" w:hAnsi="Times New Roman"/>
          <w:b w:val="false"/>
          <w:i w:val="false"/>
          <w:color w:val="000000"/>
          <w:sz w:val="21"/>
        </w:rPr>
        <w:t xml:space="preserve"> (Notice ARC 2890C, IAB 1/4/17)</w:t>
      </w:r>
      <w:r>
        <w:rPr>
          <w:rFonts w:ascii="Times New Roman" w:hAnsi="Times New Roman"/>
          <w:b w:val="false"/>
          <w:i w:val="false"/>
          <w:color w:val="000000"/>
          <w:sz w:val="21"/>
        </w:rPr>
        <w:t>, IAB 3/1/17, effective 4/5/17]</w:t>
      </w:r>
    </w:p>
    <w:p>
      <w:pPr>
        <w:spacing w:before="0" w:after="0"/>
        <w:ind w:left="120"/>
        <w:jc w:val="center"/>
      </w:pPr>
      <w:r>
        <w:rPr>
          <w:rFonts w:ascii="Times New Roman" w:hAnsi="Times New Roman"/>
          <w:b w:val="false"/>
          <w:i w:val="false"/>
          <w:color w:val="000000"/>
          <w:sz w:val="21"/>
        </w:rPr>
        <w:t>[Filed Emergency After Notice ARC 3441C</w:t>
      </w:r>
      <w:r>
        <w:rPr>
          <w:rFonts w:ascii="Times New Roman" w:hAnsi="Times New Roman"/>
          <w:b w:val="false"/>
          <w:i w:val="false"/>
          <w:color w:val="000000"/>
          <w:sz w:val="21"/>
        </w:rPr>
        <w:t xml:space="preserve"> (Notice ARC 3259C, IAB 8/16/17)</w:t>
      </w:r>
      <w:r>
        <w:rPr>
          <w:rFonts w:ascii="Times New Roman" w:hAnsi="Times New Roman"/>
          <w:b w:val="false"/>
          <w:i w:val="false"/>
          <w:color w:val="000000"/>
          <w:sz w:val="21"/>
        </w:rPr>
        <w:t>, IAB 11/8/17, effective 10/11/17]</w:t>
      </w:r>
    </w:p>
    <w:p>
      <w:pPr>
        <w:spacing w:before="0" w:after="0"/>
        <w:ind w:left="120"/>
        <w:jc w:val="center"/>
      </w:pPr>
      <w:r>
        <w:rPr>
          <w:rFonts w:ascii="Times New Roman" w:hAnsi="Times New Roman"/>
          <w:b w:val="false"/>
          <w:i w:val="false"/>
          <w:color w:val="000000"/>
          <w:sz w:val="21"/>
        </w:rPr>
        <w:t>[Filed Emergency ARC 3599C, IAB 1/31/18, effective 1/5/18]</w:t>
      </w:r>
    </w:p>
    <w:p>
      <w:pPr>
        <w:spacing w:before="0" w:after="0"/>
        <w:ind w:left="120"/>
        <w:jc w:val="center"/>
      </w:pPr>
      <w:r>
        <w:rPr>
          <w:rFonts w:ascii="Times New Roman" w:hAnsi="Times New Roman"/>
          <w:b w:val="false"/>
          <w:i w:val="false"/>
          <w:color w:val="000000"/>
          <w:sz w:val="21"/>
        </w:rPr>
        <w:t>[Filed ARC 3715C</w:t>
      </w:r>
      <w:r>
        <w:rPr>
          <w:rFonts w:ascii="Times New Roman" w:hAnsi="Times New Roman"/>
          <w:b w:val="false"/>
          <w:i w:val="false"/>
          <w:color w:val="000000"/>
          <w:sz w:val="21"/>
        </w:rPr>
        <w:t xml:space="preserve"> (Notice ARC 3596C, IAB 1/31/18)</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Emergency ARC 4220C, IAB 1/2/19, effective 1/1/19]</w:t>
      </w:r>
    </w:p>
    <w:p>
      <w:pPr>
        <w:spacing w:before="0" w:after="0"/>
        <w:ind w:left="120"/>
        <w:jc w:val="center"/>
      </w:pPr>
      <w:r>
        <w:rPr>
          <w:rFonts w:ascii="Times New Roman" w:hAnsi="Times New Roman"/>
          <w:b w:val="false"/>
          <w:i w:val="false"/>
          <w:color w:val="000000"/>
          <w:sz w:val="21"/>
        </w:rPr>
        <w:t>[Filed ARC 4336C</w:t>
      </w:r>
      <w:r>
        <w:rPr>
          <w:rFonts w:ascii="Times New Roman" w:hAnsi="Times New Roman"/>
          <w:b w:val="false"/>
          <w:i w:val="false"/>
          <w:color w:val="000000"/>
          <w:sz w:val="21"/>
        </w:rPr>
        <w:t xml:space="preserve"> (Notice ARC 4219C, IAB 1/2/19)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6775C</w:t>
      </w:r>
      <w:r>
        <w:rPr>
          <w:rFonts w:ascii="Times New Roman" w:hAnsi="Times New Roman"/>
          <w:b w:val="false"/>
          <w:i w:val="false"/>
          <w:color w:val="000000"/>
          <w:sz w:val="21"/>
        </w:rPr>
        <w:t xml:space="preserve"> (Notice ARC 6587C, IAB 10/5/22)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9306C</w:t>
      </w:r>
      <w:r>
        <w:rPr>
          <w:rFonts w:ascii="Times New Roman" w:hAnsi="Times New Roman"/>
          <w:b w:val="false"/>
          <w:i w:val="false"/>
          <w:color w:val="000000"/>
          <w:sz w:val="21"/>
        </w:rPr>
        <w:t xml:space="preserve"> (Notice ARC 8468C, IAB 12/11/24)</w:t>
      </w:r>
      <w:r>
        <w:rPr>
          <w:rFonts w:ascii="Times New Roman" w:hAnsi="Times New Roman"/>
          <w:b w:val="false"/>
          <w:i w:val="false"/>
          <w:color w:val="000000"/>
          <w:sz w:val="21"/>
        </w:rPr>
        <w:t>, IAB 5/28/25, effective 8/1/25]</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111.pdf" Type="http://schemas.openxmlformats.org/officeDocument/2006/relationships/hyperlink" Id="rId5"/>
    <Relationship TargetMode="External" Target="https://www.legis.iowa.gov/docs/iac/rule/441.51.2.pdf" Type="http://schemas.openxmlformats.org/officeDocument/2006/relationships/hyperlink" Id="rId6"/>
    <Relationship TargetMode="External" Target="https://www.legis.iowa.gov/docs/iac/chapter/441.177.pdf" Type="http://schemas.openxmlformats.org/officeDocument/2006/relationships/hyperlink" Id="rId7"/>
    <Relationship TargetMode="External" Target="https://www.legis.iowa.gov/docs/ico/chapter/249.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