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 xml:space="preserve"> FAMILY DEVELOPMENT AND SELF-SUFFICIENCY (FaDSS) PROGRAM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441—49.1</w:t>
      </w:r>
      <w:r>
        <w:rPr>
          <w:rFonts w:ascii="Times New Roman" w:hAnsi="Times New Roman"/>
          <w:b/>
          <w:i w:val="false"/>
          <w:color w:val="000000"/>
          <w:sz w:val="22"/>
        </w:rPr>
        <w:t xml:space="preserve">(216A)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public or private organization that applies for a family development and self-sufficiency grant through the request for 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w:t>
      </w:r>
      <w:r>
        <w:rPr>
          <w:rFonts w:ascii="Times New Roman" w:hAnsi="Times New Roman"/>
          <w:b w:val="false"/>
          <w:i w:val="false"/>
          <w:color w:val="000000"/>
          <w:sz w:val="22"/>
        </w:rPr>
        <w:t> </w:t>
      </w:r>
      <w:r>
        <w:rPr>
          <w:rFonts w:ascii="Times New Roman" w:hAnsi="Times New Roman"/>
          <w:b w:val="false"/>
          <w:i w:val="false"/>
          <w:color w:val="000000"/>
          <w:sz w:val="22"/>
        </w:rPr>
        <w:t>means the council on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“Grant”</w:t>
      </w:r>
      <w:r>
        <w:rPr>
          <w:rFonts w:ascii="Times New Roman" w:hAnsi="Times New Roman"/>
          <w:b w:val="false"/>
          <w:i w:val="false"/>
          <w:color w:val="000000"/>
          <w:sz w:val="22"/>
        </w:rPr>
        <w:t> </w:t>
      </w:r>
      <w:r>
        <w:rPr>
          <w:rFonts w:ascii="Times New Roman" w:hAnsi="Times New Roman"/>
          <w:b w:val="false"/>
          <w:i w:val="false"/>
          <w:color w:val="000000"/>
          <w:sz w:val="22"/>
        </w:rPr>
        <w:t>means an award approved by the council to fund a family development and self-sufficiency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“Grantee”</w:t>
      </w:r>
      <w:r>
        <w:rPr>
          <w:rFonts w:ascii="Times New Roman" w:hAnsi="Times New Roman"/>
          <w:b w:val="false"/>
          <w:i w:val="false"/>
          <w:color w:val="000000"/>
          <w:sz w:val="22"/>
        </w:rPr>
        <w:t> </w:t>
      </w:r>
      <w:r>
        <w:rPr>
          <w:rFonts w:ascii="Times New Roman" w:hAnsi="Times New Roman"/>
          <w:b w:val="false"/>
          <w:i w:val="false"/>
          <w:color w:val="000000"/>
          <w:sz w:val="22"/>
        </w:rPr>
        <w:t>means an applicant whose proposal is selected by the council and who enters into a grant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“FaDSS program”</w:t>
      </w:r>
      <w:r>
        <w:rPr>
          <w:rFonts w:ascii="Times New Roman" w:hAnsi="Times New Roman"/>
          <w:b w:val="false"/>
          <w:i w:val="false"/>
          <w:color w:val="000000"/>
          <w:sz w:val="22"/>
        </w:rPr>
        <w:t> </w:t>
      </w:r>
      <w:r>
        <w:rPr>
          <w:rFonts w:ascii="Times New Roman" w:hAnsi="Times New Roman"/>
          <w:b w:val="false"/>
          <w:i w:val="false"/>
          <w:color w:val="000000"/>
          <w:sz w:val="22"/>
        </w:rPr>
        <w:t>means the family development and self-sufficiency (FaDSS)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“grant proposal”</w:t>
      </w:r>
      <w:r>
        <w:rPr>
          <w:rFonts w:ascii="Times New Roman" w:hAnsi="Times New Roman"/>
          <w:b w:val="false"/>
          <w:i w:val="false"/>
          <w:color w:val="000000"/>
          <w:sz w:val="22"/>
        </w:rPr>
        <w:t> </w:t>
      </w:r>
      <w:r>
        <w:rPr>
          <w:rFonts w:ascii="Times New Roman" w:hAnsi="Times New Roman"/>
          <w:b w:val="false"/>
          <w:i w:val="false"/>
          <w:color w:val="000000"/>
          <w:sz w:val="22"/>
        </w:rPr>
        <w:t>means an application for grant funds to fund specific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441—49.2</w:t>
      </w:r>
      <w:r>
        <w:rPr>
          <w:rFonts w:ascii="Times New Roman" w:hAnsi="Times New Roman"/>
          <w:b/>
          <w:i w:val="false"/>
          <w:color w:val="000000"/>
          <w:sz w:val="22"/>
        </w:rPr>
        <w:t xml:space="preserve">(216A) </w:t>
      </w:r>
      <w:r>
        <w:rPr>
          <w:rFonts w:ascii="Times New Roman" w:hAnsi="Times New Roman"/>
          <w:b/>
          <w:i w:val="false"/>
          <w:color w:val="000000"/>
          <w:sz w:val="22"/>
        </w:rPr>
        <w:t xml:space="preserve">Identification of conditions and criteria for families at risk. </w:t>
      </w:r>
      <w:r>
        <w:rPr>
          <w:rFonts w:ascii="Times New Roman" w:hAnsi="Times New Roman"/>
          <w:b w:val="false"/>
          <w:i w:val="false"/>
          <w:color w:val="000000"/>
          <w:sz w:val="22"/>
        </w:rPr>
        <w:t>The council has identified the following conditions and criteria that may place families at risk of instability or of long-term dependency on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color w:val="000000"/>
          <w:sz w:val="22"/>
        </w:rPr>
        <w:t xml:space="preserve">Educational level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has less than a high school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lacks basic literacy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has never been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has multiple episodes of employment lasting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Head of household is currently unemployed.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color w:val="000000"/>
          <w:sz w:val="22"/>
        </w:rPr>
        <w:t xml:space="preserve">Household 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homeless or nearly homeless.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outside the nuclear family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or more children in the household were born while the parent received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or more children in the household are identified as having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Household includes a family member with substantiated substance use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Household includes a past or current perpetrator of child abuse or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Household includes a member with a record of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w:t>
      </w:r>
      <w:r>
        <w:rPr>
          <w:rFonts w:ascii="Times New Roman" w:hAnsi="Times New Roman"/>
          <w:b w:val="false"/>
          <w:i w:val="false"/>
          <w:color w:val="000000"/>
          <w:sz w:val="22"/>
        </w:rPr>
        <w:t> </w:t>
      </w:r>
      <w:r>
        <w:rPr>
          <w:rFonts w:ascii="Times New Roman" w:hAnsi="Times New Roman"/>
          <w:b w:val="false"/>
          <w:i/>
          <w:color w:val="000000"/>
          <w:sz w:val="22"/>
        </w:rPr>
        <w:t xml:space="preserve">Background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was a teenager at birth of first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has a disability or chronic illness (mental or physical).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Head of household is a past or current victim of child abuse or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Head of household grew up in a household with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history.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grew up in a household that received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has experienced multiple episodes of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Household has been on public assistance for three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w:t>
      </w:r>
      <w:r>
        <w:rPr>
          <w:rFonts w:ascii="Times New Roman" w:hAnsi="Times New Roman"/>
          <w:b w:val="false"/>
          <w:i w:val="false"/>
          <w:color w:val="000000"/>
          <w:sz w:val="22"/>
        </w:rPr>
        <w:t>The council has also identified the following conditions that may contribute to instability or long-term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Lack of available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Lack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441—49.3</w:t>
      </w:r>
      <w:r>
        <w:rPr>
          <w:rFonts w:ascii="Times New Roman" w:hAnsi="Times New Roman"/>
          <w:b/>
          <w:i w:val="false"/>
          <w:color w:val="000000"/>
          <w:sz w:val="22"/>
        </w:rPr>
        <w:t xml:space="preserve">(216A) </w:t>
      </w:r>
      <w:r>
        <w:rPr>
          <w:rFonts w:ascii="Times New Roman" w:hAnsi="Times New Roman"/>
          <w:b/>
          <w:i w:val="false"/>
          <w:color w:val="000000"/>
          <w:sz w:val="22"/>
        </w:rPr>
        <w:t xml:space="preserve">Referral of families. </w:t>
      </w:r>
      <w:r>
        <w:rPr>
          <w:rFonts w:ascii="Times New Roman" w:hAnsi="Times New Roman"/>
          <w:b w:val="false"/>
          <w:i w:val="false"/>
          <w:color w:val="000000"/>
          <w:sz w:val="22"/>
        </w:rPr>
        <w:t xml:space="preserve">Families who meet one or more of the conditions and criteria identified in rule </w:t>
      </w:r>
      <w:hyperlink r:id="rId5">
        <w:r>
          <w:rPr>
            <w:rStyle w:val="Hyperlink"/>
            <w:rFonts w:ascii="Times New Roman" w:hAnsi="Times New Roman"/>
            <w:b w:val="false"/>
            <w:i w:val="false"/>
            <w:color w:val="000000"/>
            <w:sz w:val="22"/>
          </w:rPr>
          <w:t>441—49.2</w:t>
        </w:r>
      </w:hyperlink>
      <w:r>
        <w:rPr>
          <w:rFonts w:ascii="Times New Roman" w:hAnsi="Times New Roman"/>
          <w:b w:val="false"/>
          <w:i w:val="false"/>
          <w:color w:val="000000"/>
          <w:sz w:val="22"/>
        </w:rPr>
        <w:t xml:space="preserve">(216A) may be referred to the program by the department, the department of workforce development, family self-referral, or other sources. Grantees will determine eligibility for the program in accordance with the eligibility criteria determined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441—49.4</w:t>
      </w:r>
      <w:r>
        <w:rPr>
          <w:rFonts w:ascii="Times New Roman" w:hAnsi="Times New Roman"/>
          <w:b/>
          <w:i w:val="false"/>
          <w:color w:val="000000"/>
          <w:sz w:val="22"/>
        </w:rPr>
        <w:t xml:space="preserve">(216A) </w:t>
      </w:r>
      <w:r>
        <w:rPr>
          <w:rFonts w:ascii="Times New Roman" w:hAnsi="Times New Roman"/>
          <w:b/>
          <w:i w:val="false"/>
          <w:color w:val="000000"/>
          <w:sz w:val="22"/>
        </w:rPr>
        <w:t xml:space="preserve">Funding of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The council will develop requests for proposals for the awarding of grants, subject to availability of funds. Grants will not exceed 60 months; however, the department will approve grantee budgets on an annual basis, based upon and subject to available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49.4(2)</w:t>
      </w:r>
      <w:r>
        <w:rPr>
          <w:rFonts w:ascii="Times New Roman" w:hAnsi="Times New Roman"/>
          <w:b w:val="false"/>
          <w:i w:val="false"/>
          <w:color w:val="000000"/>
          <w:sz w:val="22"/>
        </w:rPr>
        <w:t> </w:t>
      </w:r>
      <w:r>
        <w:rPr>
          <w:rFonts w:ascii="Times New Roman" w:hAnsi="Times New Roman"/>
          <w:b w:val="false"/>
          <w:i/>
          <w:color w:val="000000"/>
          <w:sz w:val="22"/>
        </w:rPr>
        <w:t xml:space="preserve">Grant application process. </w:t>
      </w:r>
      <w:r>
        <w:rPr>
          <w:rFonts w:ascii="Times New Roman" w:hAnsi="Times New Roman"/>
          <w:b w:val="false"/>
          <w:i w:val="false"/>
          <w:color w:val="000000"/>
          <w:sz w:val="22"/>
        </w:rPr>
        <w:t>The department will distribute applications for grants through a request for proposal. Applications shall be submitted to the department in accordance with the instructions indicated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49.4(3)</w:t>
      </w:r>
      <w:r>
        <w:rPr>
          <w:rFonts w:ascii="Times New Roman" w:hAnsi="Times New Roman"/>
          <w:b w:val="false"/>
          <w:i w:val="false"/>
          <w:color w:val="000000"/>
          <w:sz w:val="22"/>
        </w:rPr>
        <w:t> </w:t>
      </w:r>
      <w:r>
        <w:rPr>
          <w:rFonts w:ascii="Times New Roman" w:hAnsi="Times New Roman"/>
          <w:b w:val="false"/>
          <w:i/>
          <w:color w:val="000000"/>
          <w:sz w:val="22"/>
        </w:rPr>
        <w:t xml:space="preserve">Grant proposals. </w:t>
      </w:r>
      <w:r>
        <w:rPr>
          <w:rFonts w:ascii="Times New Roman" w:hAnsi="Times New Roman"/>
          <w:b w:val="false"/>
          <w:i w:val="false"/>
          <w:color w:val="000000"/>
          <w:sz w:val="22"/>
        </w:rPr>
        <w:t xml:space="preserve">Grant proposals for the program must include all elements outlined in the application as determined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49.4(4)</w:t>
      </w:r>
      <w:r>
        <w:rPr>
          <w:rFonts w:ascii="Times New Roman" w:hAnsi="Times New Roman"/>
          <w:b w:val="false"/>
          <w:i w:val="false"/>
          <w:color w:val="000000"/>
          <w:sz w:val="22"/>
        </w:rPr>
        <w:t> </w:t>
      </w:r>
      <w:r>
        <w:rPr>
          <w:rFonts w:ascii="Times New Roman" w:hAnsi="Times New Roman"/>
          <w:b w:val="false"/>
          <w:i/>
          <w:color w:val="000000"/>
          <w:sz w:val="22"/>
        </w:rPr>
        <w:t xml:space="preserve">Selection of grant proposals. </w:t>
      </w:r>
      <w:r>
        <w:rPr>
          <w:rFonts w:ascii="Times New Roman" w:hAnsi="Times New Roman"/>
          <w:b w:val="false"/>
          <w:i w:val="false"/>
          <w:color w:val="000000"/>
          <w:sz w:val="22"/>
        </w:rPr>
        <w:t>All proposals timely received will be reviewed by the department, which will make recommendations to the council. The council will review the projects recommended by the department and make the final decision with respect to grant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49.4(5)</w:t>
      </w:r>
      <w:r>
        <w:rPr>
          <w:rFonts w:ascii="Times New Roman" w:hAnsi="Times New Roman"/>
          <w:b w:val="false"/>
          <w:i w:val="false"/>
          <w:color w:val="000000"/>
          <w:sz w:val="22"/>
        </w:rPr>
        <w:t> </w:t>
      </w:r>
      <w:r>
        <w:rPr>
          <w:rFonts w:ascii="Times New Roman" w:hAnsi="Times New Roman"/>
          <w:b w:val="false"/>
          <w:i/>
          <w:color w:val="000000"/>
          <w:sz w:val="22"/>
        </w:rPr>
        <w:t xml:space="preserve"> Notification of applicants. </w:t>
      </w:r>
      <w:r>
        <w:rPr>
          <w:rFonts w:ascii="Times New Roman" w:hAnsi="Times New Roman"/>
          <w:b w:val="false"/>
          <w:i w:val="false"/>
          <w:color w:val="000000"/>
          <w:sz w:val="22"/>
        </w:rPr>
        <w:t xml:space="preserve">Applicants will be notified of grant award decisions within 60 days after the due date for receipt of proposals.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441—49.5</w:t>
      </w:r>
      <w:r>
        <w:rPr>
          <w:rFonts w:ascii="Times New Roman" w:hAnsi="Times New Roman"/>
          <w:b/>
          <w:i w:val="false"/>
          <w:color w:val="000000"/>
          <w:sz w:val="22"/>
        </w:rPr>
        <w:t xml:space="preserve">(216A) </w:t>
      </w:r>
      <w:r>
        <w:rPr>
          <w:rFonts w:ascii="Times New Roman" w:hAnsi="Times New Roman"/>
          <w:b/>
          <w:i w:val="false"/>
          <w:color w:val="000000"/>
          <w:sz w:val="22"/>
        </w:rPr>
        <w:t xml:space="preserve">Grants not renewed and grants terminated or reduced. </w:t>
      </w:r>
      <w:r>
        <w:rPr>
          <w:rFonts w:ascii="Times New Roman" w:hAnsi="Times New Roman"/>
          <w:b w:val="false"/>
          <w:i w:val="false"/>
          <w:color w:val="000000"/>
          <w:sz w:val="22"/>
        </w:rPr>
        <w:t>If the council determines that a grantee’s project funding will not be renewed or if the council terminates or reduces a grantee’s funding, the balance of funds not renewed or terminated or reduced will be awarded by the council to other grantees for which funding is approved, based on criteria approved by the council. In the event no previously approved grantees have been selected, the council will fund new grantees selected by the council as a result of a competitive grant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441—49.6</w:t>
      </w:r>
      <w:r>
        <w:rPr>
          <w:rFonts w:ascii="Times New Roman" w:hAnsi="Times New Roman"/>
          <w:b/>
          <w:i w:val="false"/>
          <w:color w:val="000000"/>
          <w:sz w:val="22"/>
        </w:rPr>
        <w:t xml:space="preserve">(216A)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dissatisfied with the council’s actions regarding grant proposals for funds and grantees dissatisfied with termination of a contract may appeal the council’s decision in accordance with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49.6(2)</w:t>
      </w:r>
      <w:r>
        <w:rPr>
          <w:rFonts w:ascii="Times New Roman" w:hAnsi="Times New Roman"/>
          <w:b w:val="false"/>
          <w:i w:val="false"/>
          <w:color w:val="000000"/>
          <w:sz w:val="22"/>
        </w:rPr>
        <w:t> </w:t>
      </w:r>
      <w:r>
        <w:rPr>
          <w:rFonts w:ascii="Times New Roman" w:hAnsi="Times New Roman"/>
          <w:b w:val="false"/>
          <w:i w:val="false"/>
          <w:color w:val="000000"/>
          <w:sz w:val="22"/>
        </w:rPr>
        <w:t>In the case of a grant award, no disbursements will be made to a grantee for a period of ten calendar days following issuance of the notice of decision to award. If an appeal is filed within the ten days, all disbursements will be held pending a final decision on the appeal. All applicants will be notified if an appeal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441—49.7</w:t>
      </w:r>
      <w:r>
        <w:rPr>
          <w:rFonts w:ascii="Times New Roman" w:hAnsi="Times New Roman"/>
          <w:b/>
          <w:i w:val="false"/>
          <w:color w:val="000000"/>
          <w:sz w:val="22"/>
        </w:rPr>
        <w:t xml:space="preserve">(216A) </w:t>
      </w:r>
      <w:r>
        <w:rPr>
          <w:rFonts w:ascii="Times New Roman" w:hAnsi="Times New Roman"/>
          <w:b/>
          <w:i w:val="false"/>
          <w:color w:val="000000"/>
          <w:sz w:val="22"/>
        </w:rPr>
        <w:t xml:space="preserve">Contract with grantee. </w:t>
      </w:r>
      <w:r>
        <w:rPr>
          <w:rFonts w:ascii="Times New Roman" w:hAnsi="Times New Roman"/>
          <w:b w:val="false"/>
          <w:i w:val="false"/>
          <w:color w:val="000000"/>
          <w:sz w:val="22"/>
        </w:rPr>
        <w:t>Funds for grants approved by the council will be awarded pursuant to a contract entered into by the department and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49.7(1)</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department will conduct contract negotiations with the selected applicant, including negotiations regarding possible modifications to a grant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49.7(2)</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contract offer. </w:t>
      </w:r>
      <w:r>
        <w:rPr>
          <w:rFonts w:ascii="Times New Roman" w:hAnsi="Times New Roman"/>
          <w:b w:val="false"/>
          <w:i w:val="false"/>
          <w:color w:val="000000"/>
          <w:sz w:val="22"/>
        </w:rPr>
        <w:t>If the applicant and the department are unable to successfully negotiate a contract, the council may withdraw the award offer and award the grant to the applicant with the next highest-scoring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49.7(3)</w:t>
      </w:r>
      <w:r>
        <w:rPr>
          <w:rFonts w:ascii="Times New Roman" w:hAnsi="Times New Roman"/>
          <w:b w:val="false"/>
          <w:i w:val="false"/>
          <w:color w:val="000000"/>
          <w:sz w:val="22"/>
        </w:rPr>
        <w:t> </w:t>
      </w:r>
      <w:r>
        <w:rPr>
          <w:rFonts w:ascii="Times New Roman" w:hAnsi="Times New Roman"/>
          <w:b w:val="false"/>
          <w:i/>
          <w:color w:val="000000"/>
          <w:sz w:val="22"/>
        </w:rPr>
        <w:t xml:space="preserve">Contract revisions. </w:t>
      </w:r>
      <w:r>
        <w:rPr>
          <w:rFonts w:ascii="Times New Roman" w:hAnsi="Times New Roman"/>
          <w:b w:val="false"/>
          <w:i w:val="false"/>
          <w:color w:val="000000"/>
          <w:sz w:val="22"/>
        </w:rPr>
        <w:t xml:space="preserve">The department and the grantee may negotiate revisions to the contract to allow for nonmaterial expansion or modification of services so long as such revisions do not increase the total amount of the grant. The department has the right to approve an amendment to the contract budget moving grant funds between budget line items if the funds represent more than 10 percent of the budget line item. All contract amendments will be granted at the discretion of the department in accordance with the terms set forth in the contract.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441—49.8</w:t>
      </w:r>
      <w:r>
        <w:rPr>
          <w:rFonts w:ascii="Times New Roman" w:hAnsi="Times New Roman"/>
          <w:b/>
          <w:i w:val="false"/>
          <w:color w:val="000000"/>
          <w:sz w:val="22"/>
        </w:rPr>
        <w:t xml:space="preserve">(216A) </w:t>
      </w:r>
      <w:r>
        <w:rPr>
          <w:rFonts w:ascii="Times New Roman" w:hAnsi="Times New Roman"/>
          <w:b/>
          <w:i w:val="false"/>
          <w:color w:val="000000"/>
          <w:sz w:val="22"/>
        </w:rPr>
        <w:t xml:space="preserve">Grantee responsibilities. </w:t>
      </w:r>
      <w:r>
        <w:rPr>
          <w:rFonts w:ascii="Times New Roman" w:hAnsi="Times New Roman"/>
          <w:b w:val="false"/>
          <w:i w:val="false"/>
          <w:color w:val="000000"/>
          <w:sz w:val="22"/>
        </w:rPr>
        <w:t>The grantee will be responsible for providing services in accordance with the policies and procedures set forth in the FaDSS program manual as amended to August 1, 2024; the grant contract; and any other guidance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441—49.9</w:t>
      </w:r>
      <w:r>
        <w:rPr>
          <w:rFonts w:ascii="Times New Roman" w:hAnsi="Times New Roman"/>
          <w:b/>
          <w:i w:val="false"/>
          <w:color w:val="000000"/>
          <w:sz w:val="22"/>
        </w:rPr>
        <w:t xml:space="preserve">(216A)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The grantee will be evaluated by the department in accordance with the continuous quality improvement plan developed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 </w:t>
      </w:r>
      <w:hyperlink r:id="rId7">
        <w:r>
          <w:rPr>
            <w:rStyle w:val="Hyperlink"/>
            <w:rFonts w:ascii="Times New Roman" w:hAnsi="Times New Roman"/>
            <w:b w:val="false"/>
            <w:i w:val="false"/>
            <w:color w:val="000000"/>
            <w:sz w:val="22"/>
          </w:rPr>
          <w:t>216A.107</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9147C</w:t>
      </w:r>
      <w:r>
        <w:rPr>
          <w:rFonts w:ascii="Times New Roman" w:hAnsi="Times New Roman"/>
          <w:b w:val="false"/>
          <w:i w:val="false"/>
          <w:color w:val="000000"/>
          <w:sz w:val="21"/>
        </w:rPr>
        <w:t xml:space="preserve"> (Notice ARC 8535C, IAB 12/11/24)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9.2.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co/chapter/216A.107.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