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PROMOTING AWARENESS OF THE BENEFITS OF A HEALTHY MARRIAGE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441—48.1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239.1</w:t>
        </w:r>
      </w:hyperlink>
      <w:r>
        <w:rPr>
          <w:rFonts w:ascii="Times New Roman" w:hAnsi="Times New Roman"/>
          <w:b w:val="false"/>
          <w:i w:val="false"/>
          <w:color w:val="000000"/>
          <w:sz w:val="22"/>
        </w:rPr>
        <w:t> to the extent it is consistent with 7 CFR 273.8 as amended to March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“SNAP” </w:t>
      </w:r>
      <w:r>
        <w:rPr>
          <w:rFonts w:ascii="Times New Roman" w:hAnsi="Times New Roman"/>
          <w:b w:val="false"/>
          <w:i w:val="false"/>
          <w:color w:val="000000"/>
          <w:sz w:val="22"/>
        </w:rPr>
        <w:t xml:space="preserve">means the supplemental nutrition assistance program under </w:t>
      </w:r>
      <w:hyperlink r:id="rId6">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441—48.2</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Eligibility for the promoting awareness of the benefits of a healthy marriage program is always determined in conjunction with determination of eligibility for SNAP.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There is no separate application for the program. Eligibility for the program is determined whenever the department determines a household’s eligibility for SNAP.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 xml:space="preserve">The maximum allowed household asset limit for the program is $15,000. Resources shall be counted in accordance with Iowa Code section </w:t>
      </w:r>
      <w:hyperlink r:id="rId7">
        <w:r>
          <w:rPr>
            <w:rStyle w:val="Hyperlink"/>
            <w:rFonts w:ascii="Times New Roman" w:hAnsi="Times New Roman"/>
            <w:b w:val="false"/>
            <w:i w:val="false"/>
            <w:color w:val="000000"/>
            <w:sz w:val="22"/>
          </w:rPr>
          <w:t>239.4(1)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48.2(3)</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The household’s gross countable monthly income determined according to </w:t>
      </w:r>
      <w:hyperlink r:id="rId8">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xml:space="preserve"> must be less than or equal to 160 percent of the current federal poverty guidelines for the household size. The income eligibility limits as described in this subrule are revised each October 1 to reflect the annual adjustment to the federal poverty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48.2(4)</w:t>
      </w:r>
      <w:r>
        <w:rPr>
          <w:rFonts w:ascii="Times New Roman" w:hAnsi="Times New Roman"/>
          <w:b w:val="false"/>
          <w:i w:val="false"/>
          <w:color w:val="000000"/>
          <w:sz w:val="22"/>
        </w:rPr>
        <w:t> </w:t>
      </w:r>
      <w:r>
        <w:rPr>
          <w:rFonts w:ascii="Times New Roman" w:hAnsi="Times New Roman"/>
          <w:b w:val="false"/>
          <w:i/>
          <w:color w:val="000000"/>
          <w:sz w:val="22"/>
        </w:rPr>
        <w:t xml:space="preserve">Otherwise eligible for SNAP. </w:t>
      </w:r>
      <w:r>
        <w:rPr>
          <w:rFonts w:ascii="Times New Roman" w:hAnsi="Times New Roman"/>
          <w:b w:val="false"/>
          <w:i w:val="false"/>
          <w:color w:val="000000"/>
          <w:sz w:val="22"/>
        </w:rPr>
        <w:t>The household must meet all eligibility criteria for SNAP except as provided in this rule. A household that includes a member who is currently disqualified from SNAP due to an intentional program violation is not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48.2(5)</w:t>
      </w:r>
      <w:r>
        <w:rPr>
          <w:rFonts w:ascii="Times New Roman" w:hAnsi="Times New Roman"/>
          <w:b w:val="false"/>
          <w:i w:val="false"/>
          <w:color w:val="000000"/>
          <w:sz w:val="22"/>
        </w:rPr>
        <w:t> </w:t>
      </w:r>
      <w:r>
        <w:rPr>
          <w:rFonts w:ascii="Times New Roman" w:hAnsi="Times New Roman"/>
          <w:b w:val="false"/>
          <w:i/>
          <w:color w:val="000000"/>
          <w:sz w:val="22"/>
        </w:rPr>
        <w:t xml:space="preserve">Minimum SNAP benefit. </w:t>
      </w:r>
      <w:r>
        <w:rPr>
          <w:rFonts w:ascii="Times New Roman" w:hAnsi="Times New Roman"/>
          <w:b w:val="false"/>
          <w:i w:val="false"/>
          <w:color w:val="000000"/>
          <w:sz w:val="22"/>
        </w:rPr>
        <w:t>The household must be eligible for a monthly SNAP benefit greater than zero. Households with a monthly SNAP benefit of zero are not eligible for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441—48.3</w:t>
      </w:r>
      <w:r>
        <w:rPr>
          <w:rFonts w:ascii="Times New Roman" w:hAnsi="Times New Roman"/>
          <w:b/>
          <w:i w:val="false"/>
          <w:color w:val="000000"/>
          <w:sz w:val="22"/>
        </w:rPr>
        <w:t xml:space="preserve">(234) </w:t>
      </w:r>
      <w:r>
        <w:rPr>
          <w:rFonts w:ascii="Times New Roman" w:hAnsi="Times New Roman"/>
          <w:b/>
          <w:i w:val="false"/>
          <w:color w:val="000000"/>
          <w:sz w:val="22"/>
        </w:rPr>
        <w:t xml:space="preserve">Notice and eligibility period. </w:t>
      </w:r>
      <w:r>
        <w:rPr>
          <w:rFonts w:ascii="Times New Roman" w:hAnsi="Times New Roman"/>
          <w:b w:val="false"/>
          <w:i w:val="false"/>
          <w:color w:val="000000"/>
          <w:sz w:val="22"/>
        </w:rPr>
        <w:t>A household that meets all of the eligibility criteria in this chapter will receive written notice of its eligibility for the promoting awareness of the benefits of a healthy marriage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w:t>
      </w:r>
      <w:r>
        <w:rPr>
          <w:rFonts w:ascii="Times New Roman" w:hAnsi="Times New Roman"/>
          <w:b w:val="false"/>
          <w:i w:val="false"/>
          <w:color w:val="000000"/>
          <w:sz w:val="22"/>
        </w:rPr>
        <w:t> </w:t>
      </w:r>
      <w:r>
        <w:rPr>
          <w:rFonts w:ascii="Times New Roman" w:hAnsi="Times New Roman"/>
          <w:b w:val="false"/>
          <w:i/>
          <w:color w:val="000000"/>
          <w:sz w:val="22"/>
        </w:rPr>
        <w:t xml:space="preserve">Written information. </w:t>
      </w:r>
      <w:r>
        <w:rPr>
          <w:rFonts w:ascii="Times New Roman" w:hAnsi="Times New Roman"/>
          <w:b w:val="false"/>
          <w:i w:val="false"/>
          <w:color w:val="000000"/>
          <w:sz w:val="22"/>
        </w:rPr>
        <w:t>Households determined eligible for the program will receive written information about the benefits of a healthy and stable marriage.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48.3(2)</w:t>
      </w:r>
      <w:r>
        <w:rPr>
          <w:rFonts w:ascii="Times New Roman" w:hAnsi="Times New Roman"/>
          <w:b w:val="false"/>
          <w:i w:val="false"/>
          <w:color w:val="000000"/>
          <w:sz w:val="22"/>
        </w:rPr>
        <w:t> </w:t>
      </w:r>
      <w:r>
        <w:rPr>
          <w:rFonts w:ascii="Times New Roman" w:hAnsi="Times New Roman"/>
          <w:b w:val="false"/>
          <w:i/>
          <w:color w:val="000000"/>
          <w:sz w:val="22"/>
        </w:rPr>
        <w:t xml:space="preserve">Eligibility period. </w:t>
      </w:r>
      <w:r>
        <w:rPr>
          <w:rFonts w:ascii="Times New Roman" w:hAnsi="Times New Roman"/>
          <w:b w:val="false"/>
          <w:i w:val="false"/>
          <w:color w:val="000000"/>
          <w:sz w:val="22"/>
        </w:rPr>
        <w:t>A household that is determined eligible for the program will remain eligible for the program until the earlier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household fails to meet the eligibility criteria under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household’s SNAP certification period under </w:t>
      </w:r>
      <w:hyperlink r:id="rId9">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xml:space="preserve"> ends.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9065C</w:t>
      </w:r>
      <w:r>
        <w:rPr>
          <w:rFonts w:ascii="Times New Roman" w:hAnsi="Times New Roman"/>
          <w:b w:val="false"/>
          <w:i w:val="false"/>
          <w:color w:val="000000"/>
          <w:sz w:val="21"/>
        </w:rPr>
        <w:t xml:space="preserve"> (Notice ARC 8709C, IAB 1/8/25)</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9.1.pdf" Type="http://schemas.openxmlformats.org/officeDocument/2006/relationships/hyperlink" Id="rId5"/>
    <Relationship TargetMode="External" Target="https://www.legis.iowa.gov/docs/iac/chapter/441.65.pdf" Type="http://schemas.openxmlformats.org/officeDocument/2006/relationships/hyperlink" Id="rId6"/>
    <Relationship TargetMode="External" Target="https://www.legis.iowa.gov/docs/ico/chapter/239.4.pdf" Type="http://schemas.openxmlformats.org/officeDocument/2006/relationships/hyperlink" Id="rId7"/>
    <Relationship TargetMode="External" Target="https://www.legis.iowa.gov/docs/iac/chapter/441.65.pdf" Type="http://schemas.openxmlformats.org/officeDocument/2006/relationships/hyperlink" Id="rId8"/>
    <Relationship TargetMode="External" Target="https://www.legis.iowa.gov/docs/iac/chapter/441.65.pdf" Type="http://schemas.openxmlformats.org/officeDocument/2006/relationships/hyperlink" Id="rId9"/>
    <Relationship TargetMode="External" Target="https://www.legis.iowa.gov/docs/ico/chapter/234.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