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FAMILY INVESTMENT PROGRAM</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APPLICATION FOR AID</w:t>
      </w:r>
    </w:p>
    <w:p>
      <w:pPr>
        <w:spacing w:before="0" w:after="0"/>
        <w:ind w:left="120"/>
        <w:jc w:val="center"/>
      </w:pPr>
      <w:r>
        <w:rPr>
          <w:rFonts w:ascii="Times New Roman" w:hAnsi="Times New Roman"/>
          <w:b w:val="false"/>
          <w:i w:val="false"/>
          <w:color w:val="000000"/>
          <w:sz w:val="14"/>
        </w:rPr>
        <w:t>[Prior to 7/1/83, Social Services[770] Ch 40]</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center"/>
      </w:pPr>
      <w:r>
        <w:rPr>
          <w:rFonts w:ascii="Times New Roman" w:hAnsi="Times New Roman"/>
          <w:b w:val="false"/>
          <w:i w:val="false"/>
          <w:color w:val="000000"/>
          <w:sz w:val="14"/>
        </w:rPr>
        <w:t>[Rescinded IAB 2/12/97, effective 3/1/97]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441—40.1</w:t>
      </w:r>
      <w:r>
        <w:rPr>
          <w:rFonts w:ascii="Times New Roman" w:hAnsi="Times New Roman"/>
          <w:b w:val="false"/>
          <w:i w:val="false"/>
          <w:color w:val="000000"/>
          <w:sz w:val="22"/>
        </w:rPr>
        <w:t xml:space="preserve"> to </w:t>
      </w:r>
      <w:r>
        <w:rPr>
          <w:rFonts w:ascii="Times New Roman" w:hAnsi="Times New Roman"/>
          <w:b/>
          <w:i w:val="false"/>
          <w:color w:val="000000"/>
          <w:sz w:val="22"/>
        </w:rPr>
        <w:t>40.20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441—40.21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for whom assistance is being requested, parent(s) living in the home with the child(ren), and the nonparental relative as defined in </w:t>
      </w:r>
      <w:hyperlink r:id="rId5">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requesting assistance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unit” </w:t>
      </w:r>
      <w:r>
        <w:rPr>
          <w:rFonts w:ascii="Times New Roman" w:hAnsi="Times New Roman"/>
          <w:b w:val="false"/>
          <w:i w:val="false"/>
          <w:color w:val="000000"/>
          <w:sz w:val="22"/>
        </w:rPr>
        <w:t>includes any person whose income is considered when determining eligibility or the family investment program grant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“Casino, gambling casino, or gaming establishment” </w:t>
      </w:r>
      <w:r>
        <w:rPr>
          <w:rFonts w:ascii="Times New Roman" w:hAnsi="Times New Roman"/>
          <w:b w:val="false"/>
          <w:i w:val="false"/>
          <w:color w:val="000000"/>
          <w:sz w:val="22"/>
        </w:rPr>
        <w:t>means an establishment with a primary purpose of accommodating the wagering of money. It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grocery store that sells groceries including staple foods and that also offers, or is located within the same building or complex as, casino, gambling, or gaming activities;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establishment that offers casino, gambling, or gaming activities incidental to the principal purpose of the business.</w:t>
      </w:r>
    </w:p>
    <w:p>
      <w:pPr>
        <w:spacing w:before="0" w:after="0"/>
        <w:ind w:left="120"/>
        <w:jc w:val="both"/>
      </w:pPr>
      <w:r>
        <w:rPr>
          <w:rFonts w:ascii="Times New Roman" w:hAnsi="Times New Roman"/>
          <w:b w:val="false"/>
          <w:i w:val="false"/>
          <w:color w:val="000000"/>
          <w:sz w:val="22"/>
        </w:rPr>
        <w:t>An automated teller machine (ATM) or a point-of-sale (POS) terminal located within those areas of an establishment where individuals are banned due to age restrictions associated with gambling, established by state or federal law or by any other regulatory entity having the authority to do so, is considered to be in a casino, gambling casino, or gaming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means the state administrative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income”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“dependent children” </w:t>
      </w:r>
      <w:r>
        <w:rPr>
          <w:rFonts w:ascii="Times New Roman" w:hAnsi="Times New Roman"/>
          <w:b w:val="false"/>
          <w:i w:val="false"/>
          <w:color w:val="000000"/>
          <w:sz w:val="22"/>
        </w:rPr>
        <w:t>means a child or children who meet the nonfinancial eligibility requirements of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benefit transfer transaction” </w:t>
      </w:r>
      <w:r>
        <w:rPr>
          <w:rFonts w:ascii="Times New Roman" w:hAnsi="Times New Roman"/>
          <w:b w:val="false"/>
          <w:i w:val="false"/>
          <w:color w:val="000000"/>
          <w:sz w:val="22"/>
        </w:rPr>
        <w:t>means the use of a credit or debit card service, automated teller machine, point-of-sale terminal, or access to an online system for the withdrawal of funds or the processing of a payment for merchandise or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in kind” </w:t>
      </w:r>
      <w:r>
        <w:rPr>
          <w:rFonts w:ascii="Times New Roman" w:hAnsi="Times New Roman"/>
          <w:b w:val="false"/>
          <w:i w:val="false"/>
          <w:color w:val="000000"/>
          <w:sz w:val="22"/>
        </w:rPr>
        <w:t>is any gain or benefit that is not in the form of money payable directly to the eligible group including nonmonetary or in-kind benefits, such as meals, clothing, and vendor payments. Vendor payments are money payments that are paid to a third party and not to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two months” </w:t>
      </w:r>
      <w:r>
        <w:rPr>
          <w:rFonts w:ascii="Times New Roman" w:hAnsi="Times New Roman"/>
          <w:b w:val="false"/>
          <w:i w:val="false"/>
          <w:color w:val="000000"/>
          <w:sz w:val="22"/>
        </w:rPr>
        <w:t>means the first two consecutive months for which assistance is paid. This may include a month for which a partial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“Liquor store” </w:t>
      </w:r>
      <w:r>
        <w:rPr>
          <w:rFonts w:ascii="Times New Roman" w:hAnsi="Times New Roman"/>
          <w:b w:val="false"/>
          <w:i w:val="false"/>
          <w:color w:val="000000"/>
          <w:sz w:val="22"/>
        </w:rPr>
        <w:t>means any retail establishment that sells exclusively or primarily intoxicating liquor or other alcoholic beverages. Such term does not include a grocery store that sells both intoxicating liquor and groceries including staple foods (within the meaning of Section 3(r) of the Food and Nutrition Act of 2008 (</w:t>
      </w:r>
      <w:r>
        <w:rPr>
          <w:rFonts w:ascii="Times New Roman" w:hAnsi="Times New Roman"/>
          <w:b w:val="false"/>
          <w:i w:val="false"/>
          <w:color w:val="000000"/>
          <w:sz w:val="22"/>
        </w:rPr>
        <w:t>7 U.S.C. §2012(r)</w:t>
      </w:r>
      <w:r>
        <w:rPr>
          <w:rFonts w:ascii="Times New Roman" w:hAnsi="Times New Roman"/>
          <w:b w:val="false"/>
          <w:i w:val="false"/>
          <w:color w:val="000000"/>
          <w:sz w:val="22"/>
        </w:rPr>
        <w:t>) as amended to December 31, 2024).</w:t>
      </w:r>
    </w:p>
    <w:p>
      <w:pPr>
        <w:spacing w:before="0" w:after="0"/>
        <w:ind w:left="120"/>
        <w:jc w:val="both"/>
      </w:pPr>
      <w:r>
        <w:rPr>
          <w:rFonts w:ascii="Times New Roman" w:hAnsi="Times New Roman"/>
          <w:b w:val="false"/>
          <w:i w:val="false"/>
          <w:color w:val="000000"/>
          <w:sz w:val="22"/>
        </w:rPr>
        <w:t>Unless exempt as described in this definition, a retail establishment meets the definition of a liquor store when it has a North American Industry Classification System (NAICS) number that categorizes the retail establishment as either a beer, wine and liquor store or as a drinking place (alcoholic beverages). A retail establishment that does not have either type of NAICS code is considered to exclusively or primarily sell intoxicating liquor when 95 percent or more of the retail establishment’s gross sales are from intoxicating liquor and it is not a United States Department of Agriculture-certified Supplemental Nutrition Assistance Program (SNAP)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as used in this title, means a facility that is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Hospital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listed in </w:t>
      </w:r>
      <w:hyperlink r:id="rId6">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who meets all the eligibility requirements to be included in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legally recognized parent, including an adoptive parent, or a biological father if there is no legally recognized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month” </w:t>
      </w:r>
      <w:r>
        <w:rPr>
          <w:rFonts w:ascii="Times New Roman" w:hAnsi="Times New Roman"/>
          <w:b w:val="false"/>
          <w:i w:val="false"/>
          <w:color w:val="000000"/>
          <w:sz w:val="22"/>
        </w:rPr>
        <w:t>means the calendar month for which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standard” </w:t>
      </w:r>
      <w:r>
        <w:rPr>
          <w:rFonts w:ascii="Times New Roman" w:hAnsi="Times New Roman"/>
          <w:b w:val="false"/>
          <w:i w:val="false"/>
          <w:color w:val="000000"/>
          <w:sz w:val="22"/>
        </w:rPr>
        <w:t xml:space="preserve">means the total needs of a group as determined by adding need according to the schedule of basic needs, described in </w:t>
      </w:r>
      <w:hyperlink r:id="rId7">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to any allowable special needs, described in </w:t>
      </w:r>
      <w:hyperlink r:id="rId8">
        <w:r>
          <w:rPr>
            <w:rStyle w:val="Hyperlink"/>
            <w:rFonts w:ascii="Times New Roman" w:hAnsi="Times New Roman"/>
            <w:b w:val="false"/>
            <w:i w:val="false"/>
            <w:color w:val="000000"/>
            <w:sz w:val="22"/>
          </w:rPr>
          <w:t>441—subrule 41.28(3)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means the department’s work and training program as described in  </w:t>
      </w:r>
      <w:hyperlink r:id="rId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budgeting” </w:t>
      </w:r>
      <w:r>
        <w:rPr>
          <w:rFonts w:ascii="Times New Roman" w:hAnsi="Times New Roman"/>
          <w:b w:val="false"/>
          <w:i w:val="false"/>
          <w:color w:val="000000"/>
          <w:sz w:val="22"/>
        </w:rPr>
        <w:t>means the determination of eligibility and the amount of assistance for a calendar month based on the best estimate of income and circumstances that will exist in that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alien” </w:t>
      </w:r>
      <w:r>
        <w:rPr>
          <w:rFonts w:ascii="Times New Roman" w:hAnsi="Times New Roman"/>
          <w:b w:val="false"/>
          <w:i w:val="false"/>
          <w:color w:val="000000"/>
          <w:sz w:val="22"/>
        </w:rPr>
        <w:t>means an alien: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lawfully admitted for permanent residence in the United States under the Immigration and Nationality Act (INA) as amended to December 31,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 is granted asylum in the United States under Section 208 of the INA as amended to December 31, 2024;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is a refugee admitted to the United States under Section 207 of the INA as amended to December 31, 2024;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Who is paroled into the United States under Section 212(d)(5) of the INA as amended to December 31, 2024,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Whose deportation from the United States is withheld under Section 243(h) of the INA as in effect before April 1, 1997, or under Section 241(b)(3) of the INA as amended to December 20, 2010;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Who is 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Who is admitted to the United States as an Amerasian as described in </w:t>
      </w:r>
      <w:r>
        <w:rPr>
          <w:rFonts w:ascii="Times New Roman" w:hAnsi="Times New Roman"/>
          <w:b w:val="false"/>
          <w:i w:val="false"/>
          <w:color w:val="000000"/>
          <w:sz w:val="22"/>
        </w:rPr>
        <w:t>8 U.S.C. §1612(b)(2)(A)(ii)(V)</w:t>
      </w:r>
      <w:r>
        <w:rPr>
          <w:rFonts w:ascii="Times New Roman" w:hAnsi="Times New Roman"/>
          <w:b w:val="false"/>
          <w:i w:val="false"/>
          <w:color w:val="000000"/>
          <w:sz w:val="22"/>
        </w:rPr>
        <w:t xml:space="preserve"> as amended to December 31, 2024;</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Who is a Cuban/Haitian entrant to the United States as described in </w:t>
      </w:r>
      <w:r>
        <w:rPr>
          <w:rFonts w:ascii="Times New Roman" w:hAnsi="Times New Roman"/>
          <w:b w:val="false"/>
          <w:i w:val="false"/>
          <w:color w:val="000000"/>
          <w:sz w:val="22"/>
        </w:rPr>
        <w:t>8 U.S.C. §1641(b)(7)</w:t>
      </w:r>
      <w:r>
        <w:rPr>
          <w:rFonts w:ascii="Times New Roman" w:hAnsi="Times New Roman"/>
          <w:b w:val="false"/>
          <w:i w:val="false"/>
          <w:color w:val="000000"/>
          <w:sz w:val="22"/>
        </w:rPr>
        <w:t xml:space="preserve"> as amended to December 31, 2024;</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Who is a battered alien as described in </w:t>
      </w:r>
      <w:r>
        <w:rPr>
          <w:rFonts w:ascii="Times New Roman" w:hAnsi="Times New Roman"/>
          <w:b w:val="false"/>
          <w:i w:val="false"/>
          <w:color w:val="000000"/>
          <w:sz w:val="22"/>
        </w:rPr>
        <w:t>8 U.S.C. §1641(c)</w:t>
      </w:r>
      <w:r>
        <w:rPr>
          <w:rFonts w:ascii="Times New Roman" w:hAnsi="Times New Roman"/>
          <w:b w:val="false"/>
          <w:i w:val="false"/>
          <w:color w:val="000000"/>
          <w:sz w:val="22"/>
        </w:rPr>
        <w:t xml:space="preserve"> as amended to December 31, 2024;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Who is certified as a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means all of the qualifying quarters of coverage as defined under Title II of the Social Security Act as amended to December 31, 2024, that were worked by a parent of an alien while the alien was under the age of 18 and all of the qualifying quarters that were worked by a spouse of the alien during their marriage if the alien remains married to the spouse or the spouse is deceased. No qualifying quarter of coverage that is creditable under Title II of the Social Security Act for any period beginning after December 31, 1996, may be credited to an alien if the parent or spouse of the alien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means a person for whom assistance is paid, parent(s) living in the home with the eligible child(ren) and nonparental relative as defined in </w:t>
      </w:r>
      <w:hyperlink r:id="rId10">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receiving assistance for the child(ren). Unless otherwise specified, a person is not a recipient for any month in which the assistance issued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establishment that provides adult-oriented entertainment in which performers disrobe or perform in an unclothed state for entertainment” </w:t>
      </w:r>
      <w:r>
        <w:rPr>
          <w:rFonts w:ascii="Times New Roman" w:hAnsi="Times New Roman"/>
          <w:b w:val="false"/>
          <w:i w:val="false"/>
          <w:color w:val="000000"/>
          <w:sz w:val="22"/>
        </w:rPr>
        <w:t>means an establishment that includes live entertainment at locations such as but not limited to strip clubs and gentlemen’s clubs. It also includes stores and theaters that exclusively or primarily sell or feature adult-oriented videos and movies such as but not limited to adult book stores and adult movie theaters. A retail establishment meets this definition when the department has confirmed the primary nature of the business through the description on the business’s website, phone contact with the establishment, a site visit, or other means such as common local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of need” </w:t>
      </w:r>
      <w:r>
        <w:rPr>
          <w:rFonts w:ascii="Times New Roman" w:hAnsi="Times New Roman"/>
          <w:b w:val="false"/>
          <w:i w:val="false"/>
          <w:color w:val="000000"/>
          <w:sz w:val="22"/>
        </w:rPr>
        <w:t xml:space="preserve">means the total needs of a group as determined by adding need according to the schedule of living costs, described in </w:t>
      </w:r>
      <w:hyperlink r:id="rId11">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to any allowable special needs, described in </w:t>
      </w:r>
      <w:hyperlink r:id="rId12">
        <w:r>
          <w:rPr>
            <w:rStyle w:val="Hyperlink"/>
            <w:rFonts w:ascii="Times New Roman" w:hAnsi="Times New Roman"/>
            <w:b w:val="false"/>
            <w:i w:val="false"/>
            <w:color w:val="000000"/>
            <w:sz w:val="22"/>
          </w:rPr>
          <w:t>441—subrule 41.28(3)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“Stepparent” </w:t>
      </w:r>
      <w:r>
        <w:rPr>
          <w:rFonts w:ascii="Times New Roman" w:hAnsi="Times New Roman"/>
          <w:b w:val="false"/>
          <w:i w:val="false"/>
          <w:color w:val="000000"/>
          <w:sz w:val="22"/>
        </w:rPr>
        <w:t>means a person who is not the parent of the dependent child, but is the legal spouse of the dependent child’s parent, by ceremonial or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will include an unborn child during the entire term of the pregnancy.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441—40.22</w:t>
      </w:r>
      <w:r>
        <w:rPr>
          <w:rFonts w:ascii="Times New Roman" w:hAnsi="Times New Roman"/>
          <w:b/>
          <w:i w:val="false"/>
          <w:color w:val="000000"/>
          <w:sz w:val="22"/>
        </w:rPr>
        <w:t xml:space="preserve">(239B) </w:t>
      </w:r>
      <w:r>
        <w:rPr>
          <w:rFonts w:ascii="Times New Roman" w:hAnsi="Times New Roman"/>
          <w:b/>
          <w:i w:val="false"/>
          <w:color w:val="000000"/>
          <w:sz w:val="22"/>
        </w:rPr>
        <w:t xml:space="preserve">Application. </w:t>
      </w:r>
      <w:r>
        <w:rPr>
          <w:rFonts w:ascii="Times New Roman" w:hAnsi="Times New Roman"/>
          <w:b w:val="false"/>
          <w:i w:val="false"/>
          <w:color w:val="000000"/>
          <w:sz w:val="22"/>
        </w:rPr>
        <w:t>The application for the family investment program shall be submitted on an application form prescribed by the department. The application shall be signed by the applicant, the applicant’s authorized representative or, when the applicant is incompetent or incapacitated, someone acting responsibly on the applicant’s behalf. When both parents, or a parent and a stepparent, are in the home and eligibility is determined on a family or household basis, one parent or stepparent may sign the application and attest to the information for the assistance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w:t>
      </w:r>
      <w:r>
        <w:rPr>
          <w:rFonts w:ascii="Times New Roman" w:hAnsi="Times New Roman"/>
          <w:b w:val="false"/>
          <w:i w:val="false"/>
          <w:color w:val="000000"/>
          <w:sz w:val="22"/>
        </w:rPr>
        <w:t> </w:t>
      </w:r>
      <w:r>
        <w:rPr>
          <w:rFonts w:ascii="Times New Roman" w:hAnsi="Times New Roman"/>
          <w:b w:val="false"/>
          <w:i w:val="false"/>
          <w:color w:val="000000"/>
          <w:sz w:val="22"/>
        </w:rPr>
        <w:t>Each individual wishing to do so will have the opportunity to apply for assistance without delay. When the parent is in the home with the child and is not prevented from acting as payee by reason of physical or mental impairment, this parent shall make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40.22(2)</w:t>
      </w:r>
      <w:r>
        <w:rPr>
          <w:rFonts w:ascii="Times New Roman" w:hAnsi="Times New Roman"/>
          <w:b w:val="false"/>
          <w:i w:val="false"/>
          <w:color w:val="000000"/>
          <w:sz w:val="22"/>
        </w:rPr>
        <w:t> </w:t>
      </w:r>
      <w:r>
        <w:rPr>
          <w:rFonts w:ascii="Times New Roman" w:hAnsi="Times New Roman"/>
          <w:b w:val="false"/>
          <w:i w:val="false"/>
          <w:color w:val="000000"/>
          <w:sz w:val="22"/>
        </w:rPr>
        <w:t>An applicant may be assisted by other individuals in the application process; the client may be accompanied by such individuals in contact with the department, and when so accompanied, may also be represented by them. When the applicant has a guardian, the guardian shall participate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40.22(3)</w:t>
      </w:r>
      <w:r>
        <w:rPr>
          <w:rFonts w:ascii="Times New Roman" w:hAnsi="Times New Roman"/>
          <w:b w:val="false"/>
          <w:i w:val="false"/>
          <w:color w:val="000000"/>
          <w:sz w:val="22"/>
        </w:rPr>
        <w:t> </w:t>
      </w:r>
      <w:r>
        <w:rPr>
          <w:rFonts w:ascii="Times New Roman" w:hAnsi="Times New Roman"/>
          <w:b w:val="false"/>
          <w:i w:val="false"/>
          <w:color w:val="000000"/>
          <w:sz w:val="22"/>
        </w:rPr>
        <w:t>The applicant shall immediately be given an application form to complete. When the applicant requests that the form be mailed, the department will send the necessary forms in the next outgoing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40.22(4)</w:t>
      </w:r>
      <w:r>
        <w:rPr>
          <w:rFonts w:ascii="Times New Roman" w:hAnsi="Times New Roman"/>
          <w:b w:val="false"/>
          <w:i w:val="false"/>
          <w:color w:val="000000"/>
          <w:sz w:val="22"/>
        </w:rPr>
        <w:t> </w:t>
      </w:r>
      <w:r>
        <w:rPr>
          <w:rFonts w:ascii="Times New Roman" w:hAnsi="Times New Roman"/>
          <w:b w:val="false"/>
          <w:i w:val="false"/>
          <w:color w:val="000000"/>
          <w:sz w:val="22"/>
        </w:rPr>
        <w:t>A new application is not required when adding a new person to the eligible group or when a parent or a stepparent becomes a member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40.22(5)</w:t>
      </w:r>
      <w:r>
        <w:rPr>
          <w:rFonts w:ascii="Times New Roman" w:hAnsi="Times New Roman"/>
          <w:b w:val="false"/>
          <w:i w:val="false"/>
          <w:color w:val="000000"/>
          <w:sz w:val="22"/>
        </w:rPr>
        <w:t> </w:t>
      </w:r>
      <w:r>
        <w:rPr>
          <w:rFonts w:ascii="Times New Roman" w:hAnsi="Times New Roman"/>
          <w:b w:val="false"/>
          <w:i w:val="false"/>
          <w:color w:val="000000"/>
          <w:sz w:val="22"/>
        </w:rPr>
        <w:t>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will be reinstated without a new application when all necessary information is provided before the effective date of cancellation and eligibility can be reestablished, or the family meets the conditions described in </w:t>
      </w:r>
      <w:hyperlink r:id="rId13">
        <w:r>
          <w:rPr>
            <w:rStyle w:val="Hyperlink"/>
            <w:rFonts w:ascii="Times New Roman" w:hAnsi="Times New Roman"/>
            <w:b w:val="false"/>
            <w:i w:val="false"/>
            <w:color w:val="000000"/>
            <w:sz w:val="22"/>
          </w:rPr>
          <w:t>441—subparagraph 41.30(3)</w:t>
        </w:r>
      </w:hyperlink>
      <w:r>
        <w:rPr>
          <w:rFonts w:ascii="Times New Roman" w:hAnsi="Times New Roman"/>
          <w:b w:val="false"/>
          <w:i/>
          <w:color w:val="000000"/>
          <w:sz w:val="22"/>
        </w:rPr>
        <w:t>“f”</w:t>
      </w:r>
      <w:r>
        <w:rPr>
          <w:rFonts w:ascii="Times New Roman" w:hAnsi="Times New Roman"/>
          <w:b w:val="false"/>
          <w:i w:val="false"/>
          <w:color w:val="000000"/>
          <w:sz w:val="22"/>
        </w:rPr>
        <w:t xml:space="preserve">(9). Exception: The reinstatement provisions of subrule </w:t>
      </w:r>
      <w:hyperlink r:id="rId14">
        <w:r>
          <w:rPr>
            <w:rStyle w:val="Hyperlink"/>
            <w:rFonts w:ascii="Times New Roman" w:hAnsi="Times New Roman"/>
            <w:b w:val="false"/>
            <w:i w:val="false"/>
            <w:color w:val="000000"/>
            <w:sz w:val="22"/>
          </w:rPr>
          <w:t>40.22(5)</w:t>
        </w:r>
      </w:hyperlink>
      <w:r>
        <w:rPr>
          <w:rFonts w:ascii="Times New Roman" w:hAnsi="Times New Roman"/>
          <w:b w:val="false"/>
          <w:i w:val="false"/>
          <w:color w:val="000000"/>
          <w:sz w:val="22"/>
        </w:rPr>
        <w:t xml:space="preserve"> do not apply when assistance is canceled due to the imposition of a subsequent limited benefit plan as described in </w:t>
      </w:r>
      <w:hyperlink r:id="rId15">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unless the limited benefit plan is stopped as described in </w:t>
      </w:r>
      <w:hyperlink r:id="rId16">
        <w:r>
          <w:rPr>
            <w:rStyle w:val="Hyperlink"/>
            <w:rFonts w:ascii="Times New Roman" w:hAnsi="Times New Roman"/>
            <w:b w:val="false"/>
            <w:i w:val="false"/>
            <w:color w:val="000000"/>
            <w:sz w:val="22"/>
          </w:rPr>
          <w:t>441—paragraph 41.24(8)</w:t>
        </w:r>
      </w:hyperlink>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assistance has been canceled for failure to provide requested information, assistance will be reinstated without a new application if all information necessary to establish eligibility, including verification of any changes, is provided within 14 days of the effective date of cancellation and eligibility can be reestablished. If the fourteenth calendar day falls on a weekend or state holiday, the client shall have until the next business day to provide the information. The effective date of assistance will be the date all information required to establish eligibility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assistance has been canceled for failure to return a completed review form pursuant to subrule </w:t>
      </w:r>
      <w:hyperlink r:id="rId17">
        <w:r>
          <w:rPr>
            <w:rStyle w:val="Hyperlink"/>
            <w:rFonts w:ascii="Times New Roman" w:hAnsi="Times New Roman"/>
            <w:b w:val="false"/>
            <w:i w:val="false"/>
            <w:color w:val="000000"/>
            <w:sz w:val="22"/>
          </w:rPr>
          <w:t>40.27(3)</w:t>
        </w:r>
      </w:hyperlink>
      <w:r>
        <w:rPr>
          <w:rFonts w:ascii="Times New Roman" w:hAnsi="Times New Roman"/>
          <w:b w:val="false"/>
          <w:i w:val="false"/>
          <w:color w:val="000000"/>
          <w:sz w:val="22"/>
        </w:rPr>
        <w:t>, assistance will be reinstated without a new application if the completed form is received by the department within 14 days of the effective date of cancellation and eligibility can be reestablished. If the fourteenth calendar day falls on a weekend or state holiday, the client shall have until the next business day to provide the information. The effective date of assistance will be the date the review form prescribed by the department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assistance has been canceled for failure to complete a required review interview, assistance will be reinstated without a new application if the interview is completed and all necessary information to determine eligibility, including verification of any changes, is provided within 14 days of the effective date of cancellation and eligibility is reestablished. If the fourteenth calendar day falls on a weekend or state holiday, the client shall have until the next business day to provide the information. The effective date of assistance will be the date the interview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441—40.23</w:t>
      </w:r>
      <w:r>
        <w:rPr>
          <w:rFonts w:ascii="Times New Roman" w:hAnsi="Times New Roman"/>
          <w:b/>
          <w:i w:val="false"/>
          <w:color w:val="000000"/>
          <w:sz w:val="22"/>
        </w:rPr>
        <w:t xml:space="preserve">(239B) </w:t>
      </w:r>
      <w:r>
        <w:rPr>
          <w:rFonts w:ascii="Times New Roman" w:hAnsi="Times New Roman"/>
          <w:b/>
          <w:i w:val="false"/>
          <w:color w:val="000000"/>
          <w:sz w:val="22"/>
        </w:rPr>
        <w:t xml:space="preserve">Date of application. </w:t>
      </w:r>
      <w:r>
        <w:rPr>
          <w:rFonts w:ascii="Times New Roman" w:hAnsi="Times New Roman"/>
          <w:b w:val="false"/>
          <w:i w:val="false"/>
          <w:color w:val="000000"/>
          <w:sz w:val="22"/>
        </w:rPr>
        <w:t>The date of application is the date the application form prescribed by the department is received by the department. When an application is delivered to a closed office, it will be considered received on the first day that is not a weekend or state holiday following the day that the office was last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40.23(1)</w:t>
      </w:r>
      <w:r>
        <w:rPr>
          <w:rFonts w:ascii="Times New Roman" w:hAnsi="Times New Roman"/>
          <w:b w:val="false"/>
          <w:i w:val="false"/>
          <w:color w:val="000000"/>
          <w:sz w:val="22"/>
        </w:rPr>
        <w:t> </w:t>
      </w:r>
      <w:r>
        <w:rPr>
          <w:rFonts w:ascii="Times New Roman" w:hAnsi="Times New Roman"/>
          <w:b w:val="false"/>
          <w:i w:val="false"/>
          <w:color w:val="000000"/>
          <w:sz w:val="22"/>
        </w:rPr>
        <w:t>The date of application is also the date an identifiable application is received by a designated worker who is in any disproportionate share hospital, federally qualified health center or other facility in which outstationing activities are provided. The hospital, health center or other facility will forward the application to the department office that is responsible for the completion of the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40.23(2)</w:t>
      </w:r>
      <w:r>
        <w:rPr>
          <w:rFonts w:ascii="Times New Roman" w:hAnsi="Times New Roman"/>
          <w:b w:val="false"/>
          <w:i w:val="false"/>
          <w:color w:val="000000"/>
          <w:sz w:val="22"/>
        </w:rPr>
        <w:t> </w:t>
      </w:r>
      <w:r>
        <w:rPr>
          <w:rFonts w:ascii="Times New Roman" w:hAnsi="Times New Roman"/>
          <w:b w:val="false"/>
          <w:i w:val="false"/>
          <w:color w:val="000000"/>
          <w:sz w:val="22"/>
        </w:rPr>
        <w:t>An identifiable application is an application containing a legible name and address that has been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40.23(3)</w:t>
      </w:r>
      <w:r>
        <w:rPr>
          <w:rFonts w:ascii="Times New Roman" w:hAnsi="Times New Roman"/>
          <w:b w:val="false"/>
          <w:i w:val="false"/>
          <w:color w:val="000000"/>
          <w:sz w:val="22"/>
        </w:rPr>
        <w:t> </w:t>
      </w:r>
      <w:r>
        <w:rPr>
          <w:rFonts w:ascii="Times New Roman" w:hAnsi="Times New Roman"/>
          <w:b w:val="false"/>
          <w:i w:val="false"/>
          <w:color w:val="000000"/>
          <w:sz w:val="22"/>
        </w:rPr>
        <w:t>A new application is not required when adding a person to an existing eligible group. This person is considered to be included in the application that established the existing eligible group. However, in these instances, the date of application to add a person is the date the change is reported. When it is reported that a person is anticipated to enter the home, the date of application to add the person will be the date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instances where a person previously excluded from the eligible group as described in </w:t>
      </w:r>
      <w:hyperlink r:id="rId18">
        <w:r>
          <w:rPr>
            <w:rStyle w:val="Hyperlink"/>
            <w:rFonts w:ascii="Times New Roman" w:hAnsi="Times New Roman"/>
            <w:b w:val="false"/>
            <w:i w:val="false"/>
            <w:color w:val="000000"/>
            <w:sz w:val="22"/>
          </w:rPr>
          <w:t>441—subrule 41.27(11)</w:t>
        </w:r>
      </w:hyperlink>
      <w:r>
        <w:rPr>
          <w:rFonts w:ascii="Times New Roman" w:hAnsi="Times New Roman"/>
          <w:b w:val="false"/>
          <w:i w:val="false"/>
          <w:color w:val="000000"/>
          <w:sz w:val="22"/>
        </w:rPr>
        <w:t xml:space="preserve"> is to be added to the eligible group, the date of application to add the person is the date the person indicated willingness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for failing to comply with </w:t>
      </w:r>
      <w:hyperlink r:id="rId19">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 the date of application to add the person is the date the social security number or proof of application for a social security number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as described in 441—subrule </w:t>
      </w:r>
      <w:hyperlink r:id="rId20">
        <w:r>
          <w:rPr>
            <w:rStyle w:val="Hyperlink"/>
            <w:rFonts w:ascii="Times New Roman" w:hAnsi="Times New Roman"/>
            <w:b w:val="false"/>
            <w:i w:val="false"/>
            <w:color w:val="000000"/>
            <w:sz w:val="22"/>
          </w:rPr>
          <w:t>41.23(5)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—subrule </w:t>
      </w:r>
      <w:hyperlink r:id="rId22">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or rule </w:t>
      </w:r>
      <w:hyperlink r:id="rId23">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(239B), the date of application to add the person is the first day after the period of ineligibility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as described in </w:t>
      </w:r>
      <w:hyperlink r:id="rId24">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the date of application to add the person is the date the person signs a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40.23(4)</w:t>
      </w:r>
      <w:r>
        <w:rPr>
          <w:rFonts w:ascii="Times New Roman" w:hAnsi="Times New Roman"/>
          <w:b w:val="false"/>
          <w:i w:val="false"/>
          <w:color w:val="000000"/>
          <w:sz w:val="22"/>
        </w:rPr>
        <w:t> </w:t>
      </w:r>
      <w:r>
        <w:rPr>
          <w:rFonts w:ascii="Times New Roman" w:hAnsi="Times New Roman"/>
          <w:b w:val="false"/>
          <w:i w:val="false"/>
          <w:color w:val="000000"/>
          <w:sz w:val="22"/>
        </w:rPr>
        <w:t>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has been denied for failure to provide requested information, if all necessary information to establish eligibility, including verification of any changes, is provided within 14 days of the date of denial, a new application is not required. If the fourteenth calendar day falls on a weekend or state holiday, the applicant shall have until the next business day to provide the information. If eligibility can be established, the effective date of assistance is the date all of the information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application has been denied for failure to attend an interview, if the interview is completed and all necessary information to establish eligibility, including verification of any changes, is provided within 14 days of the date of denial, a new application is not required. If the fourteenth calendar day falls on a weekend or state holiday, the applicant shall have until the next business day to provide the information. If eligibility can be established, the effective date of assistance is the date the interview is completed or the date all of the information is provided, whichever is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441—40.24</w:t>
      </w:r>
      <w:r>
        <w:rPr>
          <w:rFonts w:ascii="Times New Roman" w:hAnsi="Times New Roman"/>
          <w:b/>
          <w:i w:val="false"/>
          <w:color w:val="000000"/>
          <w:sz w:val="22"/>
        </w:rPr>
        <w:t xml:space="preserve">(239B) </w:t>
      </w:r>
      <w:r>
        <w:rPr>
          <w:rFonts w:ascii="Times New Roman" w:hAnsi="Times New Roman"/>
          <w:b/>
          <w:i w:val="false"/>
          <w:color w:val="000000"/>
          <w:sz w:val="22"/>
        </w:rPr>
        <w:t xml:space="preserve">Procedure with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40.24(1)</w:t>
      </w:r>
      <w:r>
        <w:rPr>
          <w:rFonts w:ascii="Times New Roman" w:hAnsi="Times New Roman"/>
          <w:b w:val="false"/>
          <w:i w:val="false"/>
          <w:color w:val="000000"/>
          <w:sz w:val="22"/>
        </w:rPr>
        <w:t> </w:t>
      </w:r>
      <w:r>
        <w:rPr>
          <w:rFonts w:ascii="Times New Roman" w:hAnsi="Times New Roman"/>
          <w:b w:val="false"/>
          <w:i w:val="false"/>
          <w:color w:val="000000"/>
          <w:sz w:val="22"/>
        </w:rPr>
        <w:t>The decision with respect to eligibility will be based primarily on information furnished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report no later than at the time of the interview any change as defined in paragraph </w:t>
      </w:r>
      <w:hyperlink r:id="rId25">
        <w:r>
          <w:rPr>
            <w:rStyle w:val="Hyperlink"/>
            <w:rFonts w:ascii="Times New Roman" w:hAnsi="Times New Roman"/>
            <w:b w:val="false"/>
            <w:i w:val="false"/>
            <w:color w:val="000000"/>
            <w:sz w:val="22"/>
          </w:rPr>
          <w:t>40.27(4)</w:t>
        </w:r>
      </w:hyperlink>
      <w:r>
        <w:rPr>
          <w:rFonts w:ascii="Times New Roman" w:hAnsi="Times New Roman"/>
          <w:b w:val="false"/>
          <w:i/>
          <w:color w:val="000000"/>
          <w:sz w:val="22"/>
        </w:rPr>
        <w:t>“e”</w:t>
      </w:r>
      <w:r>
        <w:rPr>
          <w:rFonts w:ascii="Times New Roman" w:hAnsi="Times New Roman"/>
          <w:b w:val="false"/>
          <w:i w:val="false"/>
          <w:color w:val="000000"/>
          <w:sz w:val="22"/>
        </w:rPr>
        <w:t xml:space="preserve"> that occurs after the application was signed. Any change that occurs after the interview shall be reported by the applicant within five days from the date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in writing of additional information or verification that is required to establish eligibility for assistance. Failure of the applicant to supply the information or verification requested or to request assistance and authorize the department to secure the requested information or verification from other sources will serve as a basis for denial of assistance. Signing a general authorization for release of information to the department does not meet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working days will be considered as a reasonable period for the applicant to supply the required information or verification. The department will extend the deadline when the applicant requests an extension because the applicant is making every effort to supply the information or verification but is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“Supply”  means the requested information is received by the department by the specified due date. Any time taken beyond the required time frame will be considered a delay on the part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individual is added to an existing eligible group, the five-day requirement for reporting changes will be waived. These individuals and eligible groups will be subject to the recipient’s ten-day reporting requirement as defined in subrule </w:t>
      </w:r>
      <w:hyperlink r:id="rId26">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designated worker as described in subrule </w:t>
      </w:r>
      <w:hyperlink r:id="rId27">
        <w:r>
          <w:rPr>
            <w:rStyle w:val="Hyperlink"/>
            <w:rFonts w:ascii="Times New Roman" w:hAnsi="Times New Roman"/>
            <w:b w:val="false"/>
            <w:i w:val="false"/>
            <w:color w:val="000000"/>
            <w:sz w:val="22"/>
          </w:rPr>
          <w:t>40.23(1)</w:t>
        </w:r>
      </w:hyperlink>
      <w:r>
        <w:rPr>
          <w:rFonts w:ascii="Times New Roman" w:hAnsi="Times New Roman"/>
          <w:b w:val="false"/>
          <w:i w:val="false"/>
          <w:color w:val="000000"/>
          <w:sz w:val="22"/>
        </w:rPr>
        <w:t xml:space="preserve"> will conduct a face-to-face or telephone interview with the applicant before approval of the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worker will assist the applicant, when requested, in providing information needed to determine eligibility and the amount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process shall include a visit, or visits, to the home of the child and the person with whom the child will live during the time assistance is granted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it is the judgment of the worker or the supervisor that a home visit is required to clarify or verify information pertaining to the eligibility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applicant requests a home visit for the purpose of completing a pending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adding an individual to an existing eligible group, the interview requirement may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40.24(4)</w:t>
      </w:r>
      <w:r>
        <w:rPr>
          <w:rFonts w:ascii="Times New Roman" w:hAnsi="Times New Roman"/>
          <w:b w:val="false"/>
          <w:i w:val="false"/>
          <w:color w:val="000000"/>
          <w:sz w:val="22"/>
        </w:rPr>
        <w:t> </w:t>
      </w:r>
      <w:r>
        <w:rPr>
          <w:rFonts w:ascii="Times New Roman" w:hAnsi="Times New Roman"/>
          <w:b w:val="false"/>
          <w:i w:val="false"/>
          <w:color w:val="000000"/>
          <w:sz w:val="22"/>
        </w:rPr>
        <w:t>The decision with respect to eligibility will be based on the applicant’s eligibility or ineligibility on the date the department enters all eligibility information into the department’s computer system. The applicant shall become a recipient on the date all eligibility information is entered into the department’s computer system and the computer system determines the applicant is eligible for 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441—40.25</w:t>
      </w:r>
      <w:r>
        <w:rPr>
          <w:rFonts w:ascii="Times New Roman" w:hAnsi="Times New Roman"/>
          <w:b/>
          <w:i w:val="false"/>
          <w:color w:val="000000"/>
          <w:sz w:val="22"/>
        </w:rPr>
        <w:t xml:space="preserve">(239B) </w:t>
      </w:r>
      <w:r>
        <w:rPr>
          <w:rFonts w:ascii="Times New Roman" w:hAnsi="Times New Roman"/>
          <w:b/>
          <w:i w:val="false"/>
          <w:color w:val="000000"/>
          <w:sz w:val="22"/>
        </w:rPr>
        <w:t xml:space="preserve">Time limit for decision. </w:t>
      </w:r>
      <w:r>
        <w:rPr>
          <w:rFonts w:ascii="Times New Roman" w:hAnsi="Times New Roman"/>
          <w:b w:val="false"/>
          <w:i w:val="false"/>
          <w:color w:val="000000"/>
          <w:sz w:val="22"/>
        </w:rPr>
        <w:t>A determination of approval or denial will be made as soon as possible, but no later than 30 days following the date of filing an application. A written notice of decision will be issued to the applicant the next working day following a determination of eligibility or ineligibility. This time standard shall apply except in unusual circumstances, such as when the department and the applicant have made every reasonable effort to secure necessary information that has not been supplied by the date the time limit expired; or because of emergency situations, such as fire, flood or other conditions beyond the administrative control of the department. When eligibility is dependent upon the birth of a child, the time limit may be extended while awaiting the birth of the child. When it becomes evident that due to an error on the part of the department, eligibility will not be established within the 30-day limit, the application will be approved pending a determination of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441—40.26</w:t>
      </w:r>
      <w:r>
        <w:rPr>
          <w:rFonts w:ascii="Times New Roman" w:hAnsi="Times New Roman"/>
          <w:b/>
          <w:i w:val="false"/>
          <w:color w:val="000000"/>
          <w:sz w:val="22"/>
        </w:rPr>
        <w:t xml:space="preserve">(239B) </w:t>
      </w:r>
      <w:r>
        <w:rPr>
          <w:rFonts w:ascii="Times New Roman" w:hAnsi="Times New Roman"/>
          <w:b/>
          <w:i w:val="false"/>
          <w:color w:val="000000"/>
          <w:sz w:val="22"/>
        </w:rPr>
        <w:t xml:space="preserve">Effective date of grant. </w:t>
      </w:r>
      <w:r>
        <w:rPr>
          <w:rFonts w:ascii="Times New Roman" w:hAnsi="Times New Roman"/>
          <w:b w:val="false"/>
          <w:i w:val="false"/>
          <w:color w:val="000000"/>
          <w:sz w:val="22"/>
        </w:rPr>
        <w:t>New approvals will be effective as of the date the applicant becomes eligible for assistance, but in no case will the effective date be earlier than seven days following the date of application. When an individual is added to an existing eligible group, the individual will be added effective as of the date the individual becomes eligible for assistance, but in no case will the effective date be earlier than seven days following the date the change is reported. When it is reported that a person is anticipated to enter the home, the effective date of assistance will be no earlier than the date of entry or seven days following the date of report,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change is timely reported as described in subrule </w:t>
      </w:r>
      <w:hyperlink r:id="rId28">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xml:space="preserve">, a payment adjustment will be made when indicated. When the individual’s presence is not timely reported as described in subrule </w:t>
      </w:r>
      <w:hyperlink r:id="rId29">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excess assistance issued is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instances where a person previously excluded from the eligible group as described in </w:t>
      </w:r>
      <w:hyperlink r:id="rId30">
        <w:r>
          <w:rPr>
            <w:rStyle w:val="Hyperlink"/>
            <w:rFonts w:ascii="Times New Roman" w:hAnsi="Times New Roman"/>
            <w:b w:val="false"/>
            <w:i w:val="false"/>
            <w:color w:val="000000"/>
            <w:sz w:val="22"/>
          </w:rPr>
          <w:t>441—subrule 41.27(11)</w:t>
        </w:r>
      </w:hyperlink>
      <w:r>
        <w:rPr>
          <w:rFonts w:ascii="Times New Roman" w:hAnsi="Times New Roman"/>
          <w:b w:val="false"/>
          <w:i w:val="false"/>
          <w:color w:val="000000"/>
          <w:sz w:val="22"/>
        </w:rPr>
        <w:t xml:space="preserve"> is to be added to the eligible group, the effective date of eligibility will be seven days following the date the person indicated willingness to cooperate. However, in no instance will the person be added until cooperation has actually occurred.</w:t>
      </w:r>
    </w:p>
    <w:p>
      <w:pPr>
        <w:spacing w:before="0" w:after="0"/>
        <w:ind w:left="120"/>
        <w:jc w:val="both"/>
      </w:pPr>
      <w:r>
        <w:rPr>
          <w:rFonts w:ascii="Times New Roman" w:hAnsi="Times New Roman"/>
          <w:b w:val="false"/>
          <w:i w:val="false"/>
          <w:color w:val="000000"/>
          <w:sz w:val="22"/>
        </w:rPr>
        <w:t xml:space="preserve">Exceptions: When adding a person who was previously excluded from the eligible group for failing to comply with </w:t>
      </w:r>
      <w:hyperlink r:id="rId31">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 the effective date of eligibility will be seven days following the date that the social security number or proof of application for a social security number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as described in 441—subrules </w:t>
      </w:r>
      <w:hyperlink r:id="rId32">
        <w:r>
          <w:rPr>
            <w:rStyle w:val="Hyperlink"/>
            <w:rFonts w:ascii="Times New Roman" w:hAnsi="Times New Roman"/>
            <w:b w:val="false"/>
            <w:i w:val="false"/>
            <w:color w:val="000000"/>
            <w:sz w:val="22"/>
          </w:rPr>
          <w:t>41.23(5)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and rule </w:t>
      </w:r>
      <w:hyperlink r:id="rId34">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(239B), the effective date of eligibility will be seven days following the date that the period of ineligibility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as described in </w:t>
      </w:r>
      <w:hyperlink r:id="rId35">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the effective date of eligibility will be seven days following the date the person signs a family investment agreement or the date the person is otherwise eligible, whichever is later. In no case will the effective date be within the six-month ineligibility period of a subsequent limited benefit plan as described in </w:t>
      </w:r>
      <w:hyperlink r:id="rId36">
        <w:r>
          <w:rPr>
            <w:rStyle w:val="Hyperlink"/>
            <w:rFonts w:ascii="Times New Roman" w:hAnsi="Times New Roman"/>
            <w:b w:val="false"/>
            <w:i w:val="false"/>
            <w:color w:val="000000"/>
            <w:sz w:val="22"/>
          </w:rPr>
          <w:t>441—paragraph 41.24(8)</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441—40.27</w:t>
      </w:r>
      <w:r>
        <w:rPr>
          <w:rFonts w:ascii="Times New Roman" w:hAnsi="Times New Roman"/>
          <w:b/>
          <w:i w:val="false"/>
          <w:color w:val="000000"/>
          <w:sz w:val="22"/>
        </w:rPr>
        <w:t xml:space="preserve">(239B) </w:t>
      </w:r>
      <w:r>
        <w:rPr>
          <w:rFonts w:ascii="Times New Roman" w:hAnsi="Times New Roman"/>
          <w:b/>
          <w:i w:val="false"/>
          <w:color w:val="000000"/>
          <w:sz w:val="22"/>
        </w:rPr>
        <w:t xml:space="preserve">Continuing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40.27(1)</w:t>
      </w:r>
      <w:r>
        <w:rPr>
          <w:rFonts w:ascii="Times New Roman" w:hAnsi="Times New Roman"/>
          <w:b w:val="false"/>
          <w:i w:val="false"/>
          <w:color w:val="000000"/>
          <w:sz w:val="22"/>
        </w:rPr>
        <w:t> </w:t>
      </w:r>
      <w:r>
        <w:rPr>
          <w:rFonts w:ascii="Times New Roman" w:hAnsi="Times New Roman"/>
          <w:b w:val="false"/>
          <w:i w:val="false"/>
          <w:color w:val="000000"/>
          <w:sz w:val="22"/>
        </w:rPr>
        <w:t>Eligibility factors will be reviewed at least every six months for the family investment program. An interview may be conducted at the time of a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40.27(2)</w:t>
      </w:r>
      <w:r>
        <w:rPr>
          <w:rFonts w:ascii="Times New Roman" w:hAnsi="Times New Roman"/>
          <w:b w:val="false"/>
          <w:i w:val="false"/>
          <w:color w:val="000000"/>
          <w:sz w:val="22"/>
        </w:rPr>
        <w:t> </w:t>
      </w:r>
      <w:r>
        <w:rPr>
          <w:rFonts w:ascii="Times New Roman" w:hAnsi="Times New Roman"/>
          <w:b w:val="false"/>
          <w:i w:val="false"/>
          <w:color w:val="000000"/>
          <w:sz w:val="22"/>
        </w:rPr>
        <w:t>A redetermination of specific eligibility factors will be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reports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recipient’s circumstances comes to the attention of a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40.27(3)</w:t>
      </w:r>
      <w:r>
        <w:rPr>
          <w:rFonts w:ascii="Times New Roman" w:hAnsi="Times New Roman"/>
          <w:b w:val="false"/>
          <w:i w:val="false"/>
          <w:color w:val="000000"/>
          <w:sz w:val="22"/>
        </w:rPr>
        <w:t> </w:t>
      </w:r>
      <w:r>
        <w:rPr>
          <w:rFonts w:ascii="Times New Roman" w:hAnsi="Times New Roman"/>
          <w:b w:val="false"/>
          <w:i w:val="false"/>
          <w:color w:val="000000"/>
          <w:sz w:val="22"/>
        </w:rPr>
        <w:t>Information for semiannual reviews shall be submitted on a review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supply the review form to the recipient as needed or upon request. The department will pay the cost of postage to return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issued in the department’s regular end-of-month mailing, the recipient shall return the completed form to the department by the fifth calendar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not issued in the department’s regular end-of-month mailing, the recipient shall return the completed form to the department by the seventh day after the date it is mailed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 review form received by fax or electronically will have the same effect as an original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client has completed the application form prescribed by the department for another purpose, this form may be used as the review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 form shall be signed by the payee, the payee’s authorized representative, or, when the payee is incompetent or incapacitated, someone acting responsibly on the payee’s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40.27(4)</w:t>
      </w:r>
      <w:r>
        <w:rPr>
          <w:rFonts w:ascii="Times New Roman" w:hAnsi="Times New Roman"/>
          <w:b w:val="false"/>
          <w:i w:val="false"/>
          <w:color w:val="000000"/>
          <w:sz w:val="22"/>
        </w:rPr>
        <w:t> </w:t>
      </w:r>
      <w:r>
        <w:rPr>
          <w:rFonts w:ascii="Times New Roman" w:hAnsi="Times New Roman"/>
          <w:b w:val="false"/>
          <w:i w:val="false"/>
          <w:color w:val="000000"/>
          <w:sz w:val="22"/>
        </w:rPr>
        <w:t>Responsibilities of recipients. For the purposes of this subrule, recipients shall include persons who received assistance subject to recoupment because the persons were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shall cooperate by giving complete and accurate information needed to establish eligibility and the amount of the family investment program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shall complete the required review form when requested by the department in accordance with subrule </w:t>
      </w:r>
      <w:hyperlink r:id="rId37">
        <w:r>
          <w:rPr>
            <w:rStyle w:val="Hyperlink"/>
            <w:rFonts w:ascii="Times New Roman" w:hAnsi="Times New Roman"/>
            <w:b w:val="false"/>
            <w:i w:val="false"/>
            <w:color w:val="000000"/>
            <w:sz w:val="22"/>
          </w:rPr>
          <w:t>40.27(3)</w:t>
        </w:r>
      </w:hyperlink>
      <w:r>
        <w:rPr>
          <w:rFonts w:ascii="Times New Roman" w:hAnsi="Times New Roman"/>
          <w:b w:val="false"/>
          <w:i w:val="false"/>
          <w:color w:val="000000"/>
          <w:sz w:val="22"/>
        </w:rPr>
        <w:t xml:space="preserve">. Failure to return a completed form will result in cancellation of assistance. A completed form is a form with all items answered, signed, dated and accompanied by verification as required in 441—paragraphs </w:t>
      </w:r>
      <w:hyperlink r:id="rId38">
        <w:r>
          <w:rPr>
            <w:rStyle w:val="Hyperlink"/>
            <w:rFonts w:ascii="Times New Roman" w:hAnsi="Times New Roman"/>
            <w:b w:val="false"/>
            <w:i w:val="false"/>
            <w:color w:val="000000"/>
            <w:sz w:val="22"/>
          </w:rPr>
          <w:t>41.27(1)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41.27(2)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has the primary responsibility for providing information and verification needed to establish eligibility and the amount of the family investment program grant. The recipient shall supply, insofar as the recipient is able, information and verification needed within ten working days from the date a written request is mailed by the department to the recipient’s current mailing address or given to the recipient. The department will extend the deadline when the recipient requests an extension because the recipient is making every effort to supply the information or verification but is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“Supply” means that the requested information or verification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recipient is unable to furnish information or verification needed to establish eligibility and the amount of the family investment program grant, the recipient shall request assistance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supply the information or verification requested or to request assistance and authorize the department to secure the requested information or verification from other sources will serve as a basis for cancellation of assistance. Signing a general authorization for release of information to the department does not meet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or applicant shall cooperate with the department when the recipient’s or applicant’s case is selected by quality control for verification of eligibility. The recipient or applicant shall also cooperate with the front end investigations conducted by the department of inspections, appeals, and licensing to determine whether information supplied to the department by the client is complete and correct regarding pertinent public assistance information unless the investigation revolves solely around the circumstances of a person whose income and resources do not affect family investment program eligibility (more information can be found in </w:t>
      </w:r>
      <w:hyperlink r:id="rId40">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will serve as a basis for cancellation or denial of the family’s assistance. Once denied or canceled for failure to cooperate, the family may reapply but will not be considered for approval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recipient, or an individual being added to the existing eligible group, shall timely report any change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or ending income, including receipt of a nonrecurring lump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School attendance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will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of resources or income or the date income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address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child is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a person enters or leaves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change is not timely reported, any excess assistance paid will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40.27(5)</w:t>
      </w:r>
      <w:r>
        <w:rPr>
          <w:rFonts w:ascii="Times New Roman" w:hAnsi="Times New Roman"/>
          <w:b w:val="false"/>
          <w:i w:val="false"/>
          <w:color w:val="000000"/>
          <w:sz w:val="22"/>
        </w:rPr>
        <w:t> </w:t>
      </w:r>
      <w:r>
        <w:rPr>
          <w:rFonts w:ascii="Times New Roman" w:hAnsi="Times New Roman"/>
          <w:b w:val="false"/>
          <w:i w:val="false"/>
          <w:color w:val="000000"/>
          <w:sz w:val="22"/>
        </w:rPr>
        <w:t>After assistance has been approved, eligibility for continuing assistance and the amount of the grant will be effective as of the first of each month. Any change affecting eligibility or benefits reported during a month will be effective the first day of the next calendar month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recipient reports a new person to be added to the eligible group and that person meets eligibility requirements, a payment adjustment will be made for the month of the report, subject to the effective date of grant limitations prescribed in rule </w:t>
      </w:r>
      <w:hyperlink r:id="rId4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cancellation of assistance occurs later because issuance of a timely notice, as required by rule </w:t>
      </w:r>
      <w:hyperlink r:id="rId4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requires that the action be delayed until the first day of the second calendar month, any overpayment received in the first calendar month will be recouped.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recipient reports a change in income or circumstances timely, as defined in subrule </w:t>
      </w:r>
      <w:hyperlink r:id="rId43">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the department will determine prospective eligibility and the grant amount for the following month based on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payment adjustment will be made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will be made for any overpayment, with one exception. When a change in income is timely reported by a recipient and timely acted upon by the department, but the timely notice, as required by rule </w:t>
      </w:r>
      <w:hyperlink r:id="rId45">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requires the action be delayed until the second calendar month following the month of change, and eligibility continues, recoupment will not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individual included in the eligible group becomes ineligible, that individual’s needs will be removed prospectively effective the first day of the next calendar month. When the action must be delayed due to administrative requirements, a payment adjustment or recoupment will be made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sanction under </w:t>
      </w:r>
      <w:hyperlink r:id="rId46">
        <w:r>
          <w:rPr>
            <w:rStyle w:val="Hyperlink"/>
            <w:rFonts w:ascii="Times New Roman" w:hAnsi="Times New Roman"/>
            <w:b w:val="false"/>
            <w:i w:val="false"/>
            <w:color w:val="000000"/>
            <w:sz w:val="22"/>
          </w:rPr>
          <w:t>441—paragraph 41.22(6)</w:t>
        </w:r>
      </w:hyperlink>
      <w:r>
        <w:rPr>
          <w:rFonts w:ascii="Times New Roman" w:hAnsi="Times New Roman"/>
          <w:b w:val="false"/>
          <w:i/>
          <w:color w:val="000000"/>
          <w:sz w:val="22"/>
        </w:rPr>
        <w:t>“f”</w:t>
      </w:r>
      <w:r>
        <w:rPr>
          <w:rFonts w:ascii="Times New Roman" w:hAnsi="Times New Roman"/>
          <w:b w:val="false"/>
          <w:i w:val="false"/>
          <w:color w:val="000000"/>
          <w:sz w:val="22"/>
        </w:rPr>
        <w:t xml:space="preserve"> is implemented, the change will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day of the next calendar month after the change has occurred when the income maintenance unit determines noncooperation;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the income maintenance unit receives notification from the child support recovery unit when child support services determines noncooperation.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sanction under </w:t>
      </w:r>
      <w:hyperlink r:id="rId47">
        <w:r>
          <w:rPr>
            <w:rStyle w:val="Hyperlink"/>
            <w:rFonts w:ascii="Times New Roman" w:hAnsi="Times New Roman"/>
            <w:b w:val="false"/>
            <w:i w:val="false"/>
            <w:color w:val="000000"/>
            <w:sz w:val="22"/>
          </w:rPr>
          <w:t>441—paragraph 41.22(6)</w:t>
        </w:r>
      </w:hyperlink>
      <w:r>
        <w:rPr>
          <w:rFonts w:ascii="Times New Roman" w:hAnsi="Times New Roman"/>
          <w:b w:val="false"/>
          <w:i/>
          <w:color w:val="000000"/>
          <w:sz w:val="22"/>
        </w:rPr>
        <w:t>“f”</w:t>
      </w:r>
      <w:r>
        <w:rPr>
          <w:rFonts w:ascii="Times New Roman" w:hAnsi="Times New Roman"/>
          <w:b w:val="false"/>
          <w:i w:val="false"/>
          <w:color w:val="000000"/>
          <w:sz w:val="22"/>
        </w:rPr>
        <w:t xml:space="preserve"> is removed, the change will be effective the first day of the next calendar month after the recipient has expressed willingness to cooperate, as described in </w:t>
      </w:r>
      <w:hyperlink r:id="rId48">
        <w:r>
          <w:rPr>
            <w:rStyle w:val="Hyperlink"/>
            <w:rFonts w:ascii="Times New Roman" w:hAnsi="Times New Roman"/>
            <w:b w:val="false"/>
            <w:i w:val="false"/>
            <w:color w:val="000000"/>
            <w:sz w:val="22"/>
          </w:rPr>
          <w:t>441—paragraph 41.22(6)</w:t>
        </w:r>
      </w:hyperlink>
      <w:r>
        <w:rPr>
          <w:rFonts w:ascii="Times New Roman" w:hAnsi="Times New Roman"/>
          <w:b w:val="false"/>
          <w:i/>
          <w:color w:val="000000"/>
          <w:sz w:val="22"/>
        </w:rPr>
        <w:t>“f.”</w:t>
      </w:r>
      <w:r>
        <w:rPr>
          <w:rFonts w:ascii="Times New Roman" w:hAnsi="Times New Roman"/>
          <w:b w:val="false"/>
          <w:i w:val="false"/>
          <w:color w:val="000000"/>
          <w:sz w:val="22"/>
        </w:rPr>
        <w:t xml:space="preserve"> However, action to remove the sanction will be delayed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Cooperation has actually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has received notification from child support services that the client has cooperated.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different effective date will be applied when specifically indicated in family investment program rules, such as in 441—subrule </w:t>
      </w:r>
      <w:hyperlink r:id="rId49">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—subparagraph </w:t>
      </w:r>
      <w:hyperlink r:id="rId51">
        <w:r>
          <w:rPr>
            <w:rStyle w:val="Hyperlink"/>
            <w:rFonts w:ascii="Times New Roman" w:hAnsi="Times New Roman"/>
            <w:b w:val="false"/>
            <w:i w:val="false"/>
            <w:color w:val="000000"/>
            <w:sz w:val="22"/>
          </w:rPr>
          <w:t>41.27(9)</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441—40.28</w:t>
      </w:r>
      <w:r>
        <w:rPr>
          <w:rFonts w:ascii="Times New Roman" w:hAnsi="Times New Roman"/>
          <w:b/>
          <w:i w:val="false"/>
          <w:color w:val="000000"/>
          <w:sz w:val="22"/>
        </w:rPr>
        <w:t xml:space="preserve">(239B) </w:t>
      </w:r>
      <w:r>
        <w:rPr>
          <w:rFonts w:ascii="Times New Roman" w:hAnsi="Times New Roman"/>
          <w:b/>
          <w:i w:val="false"/>
          <w:color w:val="000000"/>
          <w:sz w:val="22"/>
        </w:rPr>
        <w:t xml:space="preserve">Referral for investigation. </w:t>
      </w:r>
      <w:r>
        <w:rPr>
          <w:rFonts w:ascii="Times New Roman" w:hAnsi="Times New Roman"/>
          <w:b w:val="false"/>
          <w:i w:val="false"/>
          <w:color w:val="000000"/>
          <w:sz w:val="22"/>
        </w:rPr>
        <w:t>The department may refer questionable cases to the department of inspections, appeals, and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441—40.29</w:t>
      </w:r>
      <w:r>
        <w:rPr>
          <w:rFonts w:ascii="Times New Roman" w:hAnsi="Times New Roman"/>
          <w:b/>
          <w:i w:val="false"/>
          <w:color w:val="000000"/>
          <w:sz w:val="22"/>
        </w:rPr>
        <w:t xml:space="preserve">(239B) </w:t>
      </w:r>
      <w:r>
        <w:rPr>
          <w:rFonts w:ascii="Times New Roman" w:hAnsi="Times New Roman"/>
          <w:b/>
          <w:i w:val="false"/>
          <w:color w:val="000000"/>
          <w:sz w:val="22"/>
        </w:rPr>
        <w:t xml:space="preserve">Alternate payees.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40.29(1)</w:t>
      </w:r>
      <w:r>
        <w:rPr>
          <w:rFonts w:ascii="Times New Roman" w:hAnsi="Times New Roman"/>
          <w:b w:val="false"/>
          <w:i w:val="false"/>
          <w:color w:val="000000"/>
          <w:sz w:val="22"/>
        </w:rPr>
        <w:t> </w:t>
      </w:r>
      <w:r>
        <w:rPr>
          <w:rFonts w:ascii="Times New Roman" w:hAnsi="Times New Roman"/>
          <w:b w:val="false"/>
          <w:i/>
          <w:color w:val="000000"/>
          <w:sz w:val="22"/>
        </w:rPr>
        <w:t xml:space="preserve">Conservatorship or guardianship. </w:t>
      </w:r>
      <w:r>
        <w:rPr>
          <w:rFonts w:ascii="Times New Roman" w:hAnsi="Times New Roman"/>
          <w:b w:val="false"/>
          <w:i w:val="false"/>
          <w:color w:val="000000"/>
          <w:sz w:val="22"/>
        </w:rPr>
        <w:t xml:space="preserve">When application for the family investment program is filed by a person under conservatorship or guardianship, a copy of the court order will be secured by the department. Assistance payments will be made pursuant to Iowa Code section </w:t>
      </w:r>
      <w:hyperlink r:id="rId52">
        <w:r>
          <w:rPr>
            <w:rStyle w:val="Hyperlink"/>
            <w:rFonts w:ascii="Times New Roman" w:hAnsi="Times New Roman"/>
            <w:b w:val="false"/>
            <w:i w:val="false"/>
            <w:color w:val="000000"/>
            <w:sz w:val="22"/>
          </w:rPr>
          <w:t>239B.13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40.29(2)</w:t>
      </w:r>
      <w:r>
        <w:rPr>
          <w:rFonts w:ascii="Times New Roman" w:hAnsi="Times New Roman"/>
          <w:b w:val="false"/>
          <w:i w:val="false"/>
          <w:color w:val="000000"/>
          <w:sz w:val="22"/>
        </w:rPr>
        <w:t> </w:t>
      </w:r>
      <w:r>
        <w:rPr>
          <w:rFonts w:ascii="Times New Roman" w:hAnsi="Times New Roman"/>
          <w:b w:val="false"/>
          <w:i/>
          <w:color w:val="000000"/>
          <w:sz w:val="22"/>
        </w:rPr>
        <w:t xml:space="preserve">Emergency payee. </w:t>
      </w:r>
      <w:r>
        <w:rPr>
          <w:rFonts w:ascii="Times New Roman" w:hAnsi="Times New Roman"/>
          <w:b w:val="false"/>
          <w:i w:val="false"/>
          <w:color w:val="000000"/>
          <w:sz w:val="22"/>
        </w:rPr>
        <w:t>Payments may be made to persons acting for relatives who have been receiving assistance for a child in emergency situations that deprive the child of the relatives’ care. These payments will be made for a temporary period, not to exceed three months, to allow time to make and implement plans for the child’s continuing care and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9276C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3">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239B.13</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239B.18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23, 1955; amended August 30, 1972, June 3, 1975, June 27, 1975]</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8/18/77, Notice 6/15/77—published 9/7/77, effective 10/12/77]</w:t>
      </w:r>
    </w:p>
    <w:p>
      <w:pPr>
        <w:spacing w:before="0" w:after="0"/>
        <w:ind w:left="120"/>
        <w:jc w:val="center"/>
      </w:pPr>
      <w:r>
        <w:rPr>
          <w:rFonts w:ascii="Times New Roman" w:hAnsi="Times New Roman"/>
          <w:b w:val="false"/>
          <w:i w:val="false"/>
          <w:color w:val="000000"/>
          <w:sz w:val="21"/>
        </w:rPr>
        <w:t>[Filed 8/9/78, Notice 6/28/78—published 9/6/78, effective 11/1/78]</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10/24/79, Notice 8/22/79—published 11/14/79, effective 1/1/80]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without Notice 3/24/81—published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9/1/83, Notice 6/22/83—published 9/28/83, effective 11/2/83]</w:t>
      </w:r>
    </w:p>
    <w:p>
      <w:pPr>
        <w:spacing w:before="0" w:after="0"/>
        <w:ind w:left="120"/>
        <w:jc w:val="center"/>
      </w:pPr>
      <w:r>
        <w:rPr>
          <w:rFonts w:ascii="Times New Roman" w:hAnsi="Times New Roman"/>
          <w:b w:val="false"/>
          <w:i w:val="false"/>
          <w:color w:val="000000"/>
          <w:sz w:val="21"/>
        </w:rPr>
        <w:t>[Filed emergency 12/16/83—published 1/4/84, effective 1/1/84]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5/4/84, Notice 2/29/84—published 5/23/84, effective 7/1/84]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9/28/84, Notice 8/15/84—published 10/24/84, effective 12/1/84]</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9/3/86, Notice 7/2/86—published 9/24/86, effective 11/1/86]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emergency 6/11/92 after Notice 4/15/92—published 7/8/92, effective 7/1/92]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6/10/98, Notice 5/6/98—published 7/1/98, effective 9/1/98]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8/11/99, Notice 6/16/99—published 9/8/99, effective 11/1/99]</w:t>
      </w:r>
    </w:p>
    <w:p>
      <w:pPr>
        <w:spacing w:before="0" w:after="0"/>
        <w:ind w:left="120"/>
        <w:jc w:val="center"/>
      </w:pPr>
      <w:r>
        <w:rPr>
          <w:rFonts w:ascii="Times New Roman" w:hAnsi="Times New Roman"/>
          <w:b w:val="false"/>
          <w:i w:val="false"/>
          <w:color w:val="000000"/>
          <w:sz w:val="21"/>
        </w:rPr>
        <w:t>[Filed 12/8/99, Notice 11/3/99—published 12/29/99, effective 3/1/00]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4573C</w:t>
      </w:r>
      <w:r>
        <w:rPr>
          <w:rFonts w:ascii="Times New Roman" w:hAnsi="Times New Roman"/>
          <w:b w:val="false"/>
          <w:i w:val="false"/>
          <w:color w:val="000000"/>
          <w:sz w:val="21"/>
        </w:rPr>
        <w:t xml:space="preserve"> (Notice ARC 4439C,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9276C</w:t>
      </w:r>
      <w:r>
        <w:rPr>
          <w:rFonts w:ascii="Times New Roman" w:hAnsi="Times New Roman"/>
          <w:b w:val="false"/>
          <w:i w:val="false"/>
          <w:color w:val="000000"/>
          <w:sz w:val="21"/>
        </w:rPr>
        <w:t xml:space="preserve"> (Notice ARC 8708C, IAB 1/8/25)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1.22.pdf" Type="http://schemas.openxmlformats.org/officeDocument/2006/relationships/hyperlink" Id="rId5"/>
    <Relationship TargetMode="External" Target="https://www.legis.iowa.gov/docs/iac/rule/441.41.22.pdf" Type="http://schemas.openxmlformats.org/officeDocument/2006/relationships/hyperlink" Id="rId6"/>
    <Relationship TargetMode="External" Target="https://www.legis.iowa.gov/docs/iac/rule/441.41.28.pdf" Type="http://schemas.openxmlformats.org/officeDocument/2006/relationships/hyperlink" Id="rId7"/>
    <Relationship TargetMode="External" Target="https://www.legis.iowa.gov/docs/iac/rule/441.41.28.pdf" Type="http://schemas.openxmlformats.org/officeDocument/2006/relationships/hyperlink" Id="rId8"/>
    <Relationship TargetMode="External" Target="https://www.legis.iowa.gov/docs/iac/chapter/441.93.pdf" Type="http://schemas.openxmlformats.org/officeDocument/2006/relationships/hyperlink" Id="rId9"/>
    <Relationship TargetMode="External" Target="https://www.legis.iowa.gov/docs/iac/rule/441.41.22.pdf" Type="http://schemas.openxmlformats.org/officeDocument/2006/relationships/hyperlink" Id="rId10"/>
    <Relationship TargetMode="External" Target="https://www.legis.iowa.gov/docs/iac/rule/441.41.28.pdf" Type="http://schemas.openxmlformats.org/officeDocument/2006/relationships/hyperlink" Id="rId11"/>
    <Relationship TargetMode="External" Target="https://www.legis.iowa.gov/docs/iac/rule/441.41.28.pdf" Type="http://schemas.openxmlformats.org/officeDocument/2006/relationships/hyperlink" Id="rId12"/>
    <Relationship TargetMode="External" Target="https://www.legis.iowa.gov/docs/iac/rule/441.41.30.pdf" Type="http://schemas.openxmlformats.org/officeDocument/2006/relationships/hyperlink" Id="rId13"/>
    <Relationship TargetMode="External" Target="https://www.legis.iowa.gov/docs/iac/rule/441.40.22.pdf" Type="http://schemas.openxmlformats.org/officeDocument/2006/relationships/hyperlink" Id="rId14"/>
    <Relationship TargetMode="External" Target="https://www.legis.iowa.gov/docs/iac/rule/441.41.24.pdf" Type="http://schemas.openxmlformats.org/officeDocument/2006/relationships/hyperlink" Id="rId15"/>
    <Relationship TargetMode="External" Target="https://www.legis.iowa.gov/docs/iac/rule/441.41.24.pdf" Type="http://schemas.openxmlformats.org/officeDocument/2006/relationships/hyperlink" Id="rId16"/>
    <Relationship TargetMode="External" Target="https://www.legis.iowa.gov/docs/iac/rule/441.40.27.pdf" Type="http://schemas.openxmlformats.org/officeDocument/2006/relationships/hyperlink" Id="rId17"/>
    <Relationship TargetMode="External" Target="https://www.legis.iowa.gov/docs/iac/rule/441.41.27.pdf" Type="http://schemas.openxmlformats.org/officeDocument/2006/relationships/hyperlink" Id="rId18"/>
    <Relationship TargetMode="External" Target="https://www.legis.iowa.gov/docs/iac/rule/441.41.22.pdf" Type="http://schemas.openxmlformats.org/officeDocument/2006/relationships/hyperlink" Id="rId19"/>
    <Relationship TargetMode="External" Target="https://www.legis.iowa.gov/docs/iac/rule/441.41.23.pdf" Type="http://schemas.openxmlformats.org/officeDocument/2006/relationships/hyperlink" Id="rId20"/>
    <Relationship TargetMode="External" Target="https://www.legis.iowa.gov/docs/iac/chapter/441.441.pdf" Type="http://schemas.openxmlformats.org/officeDocument/2006/relationships/hyperlink" Id="rId21"/>
    <Relationship TargetMode="External" Target="https://www.legis.iowa.gov/docs/iac/rule/441.41.25.pdf" Type="http://schemas.openxmlformats.org/officeDocument/2006/relationships/hyperlink" Id="rId22"/>
    <Relationship TargetMode="External" Target="https://www.legis.iowa.gov/docs/iac/rule/441.46.29.pdf" Type="http://schemas.openxmlformats.org/officeDocument/2006/relationships/hyperlink" Id="rId23"/>
    <Relationship TargetMode="External" Target="https://www.legis.iowa.gov/docs/iac/rule/441.41.24.pdf" Type="http://schemas.openxmlformats.org/officeDocument/2006/relationships/hyperlink" Id="rId24"/>
    <Relationship TargetMode="External" Target="https://www.legis.iowa.gov/docs/iac/rule/441.40.27.pdf" Type="http://schemas.openxmlformats.org/officeDocument/2006/relationships/hyperlink" Id="rId25"/>
    <Relationship TargetMode="External" Target="https://www.legis.iowa.gov/docs/iac/rule/441.40.27.pdf" Type="http://schemas.openxmlformats.org/officeDocument/2006/relationships/hyperlink" Id="rId26"/>
    <Relationship TargetMode="External" Target="https://www.legis.iowa.gov/docs/iac/rule/441.40.23.pdf" Type="http://schemas.openxmlformats.org/officeDocument/2006/relationships/hyperlink" Id="rId27"/>
    <Relationship TargetMode="External" Target="https://www.legis.iowa.gov/docs/iac/rule/441.40.27.pdf" Type="http://schemas.openxmlformats.org/officeDocument/2006/relationships/hyperlink" Id="rId28"/>
    <Relationship TargetMode="External" Target="https://www.legis.iowa.gov/docs/iac/rule/441.40.27.pdf" Type="http://schemas.openxmlformats.org/officeDocument/2006/relationships/hyperlink" Id="rId29"/>
    <Relationship TargetMode="External" Target="https://www.legis.iowa.gov/docs/iac/rule/441.41.27.pdf" Type="http://schemas.openxmlformats.org/officeDocument/2006/relationships/hyperlink" Id="rId30"/>
    <Relationship TargetMode="External" Target="https://www.legis.iowa.gov/docs/iac/rule/441.41.22.pdf" Type="http://schemas.openxmlformats.org/officeDocument/2006/relationships/hyperlink" Id="rId31"/>
    <Relationship TargetMode="External" Target="https://www.legis.iowa.gov/docs/iac/rule/441.41.23.pdf" Type="http://schemas.openxmlformats.org/officeDocument/2006/relationships/hyperlink" Id="rId32"/>
    <Relationship TargetMode="External" Target="https://www.legis.iowa.gov/docs/iac/rule/441.41.25.pdf" Type="http://schemas.openxmlformats.org/officeDocument/2006/relationships/hyperlink" Id="rId33"/>
    <Relationship TargetMode="External" Target="https://www.legis.iowa.gov/docs/iac/rule/441.46.29.pdf" Type="http://schemas.openxmlformats.org/officeDocument/2006/relationships/hyperlink" Id="rId34"/>
    <Relationship TargetMode="External" Target="https://www.legis.iowa.gov/docs/iac/rule/441.41.24.pdf" Type="http://schemas.openxmlformats.org/officeDocument/2006/relationships/hyperlink" Id="rId35"/>
    <Relationship TargetMode="External" Target="https://www.legis.iowa.gov/docs/iac/rule/441.41.24.pdf" Type="http://schemas.openxmlformats.org/officeDocument/2006/relationships/hyperlink" Id="rId36"/>
    <Relationship TargetMode="External" Target="https://www.legis.iowa.gov/docs/iac/rule/441.40.27.pdf" Type="http://schemas.openxmlformats.org/officeDocument/2006/relationships/hyperlink" Id="rId37"/>
    <Relationship TargetMode="External" Target="https://www.legis.iowa.gov/docs/iac/rule/441.41.27.pdf" Type="http://schemas.openxmlformats.org/officeDocument/2006/relationships/hyperlink" Id="rId38"/>
    <Relationship TargetMode="External" Target="https://www.legis.iowa.gov/docs/iac/rule/441.41.27.pdf" Type="http://schemas.openxmlformats.org/officeDocument/2006/relationships/hyperlink" Id="rId39"/>
    <Relationship TargetMode="External" Target="https://www.legis.iowa.gov/docs/iac/chapter/481.72.pdf" Type="http://schemas.openxmlformats.org/officeDocument/2006/relationships/hyperlink" Id="rId40"/>
    <Relationship TargetMode="External" Target="https://www.legis.iowa.gov/docs/iac/rule/441.40.26.pdf" Type="http://schemas.openxmlformats.org/officeDocument/2006/relationships/hyperlink" Id="rId41"/>
    <Relationship TargetMode="External" Target="https://www.legis.iowa.gov/docs/iac/rule/441.16.2.pdf" Type="http://schemas.openxmlformats.org/officeDocument/2006/relationships/hyperlink" Id="rId42"/>
    <Relationship TargetMode="External" Target="https://www.legis.iowa.gov/docs/iac/rule/441.40.24.pdf" Type="http://schemas.openxmlformats.org/officeDocument/2006/relationships/hyperlink" Id="rId43"/>
    <Relationship TargetMode="External" Target="https://www.legis.iowa.gov/docs/iac/rule/441.40.27.pdf" Type="http://schemas.openxmlformats.org/officeDocument/2006/relationships/hyperlink" Id="rId44"/>
    <Relationship TargetMode="External" Target="https://www.legis.iowa.gov/docs/iac/rule/441.16.2.pdf" Type="http://schemas.openxmlformats.org/officeDocument/2006/relationships/hyperlink" Id="rId45"/>
    <Relationship TargetMode="External" Target="https://www.legis.iowa.gov/docs/iac/rule/441.41.22.pdf" Type="http://schemas.openxmlformats.org/officeDocument/2006/relationships/hyperlink" Id="rId46"/>
    <Relationship TargetMode="External" Target="https://www.legis.iowa.gov/docs/iac/rule/441.41.22.pdf" Type="http://schemas.openxmlformats.org/officeDocument/2006/relationships/hyperlink" Id="rId47"/>
    <Relationship TargetMode="External" Target="https://www.legis.iowa.gov/docs/iac/rule/441.41.22.pdf" Type="http://schemas.openxmlformats.org/officeDocument/2006/relationships/hyperlink" Id="rId48"/>
    <Relationship TargetMode="External" Target="https://www.legis.iowa.gov/docs/iac/rule/441.41.25.pdf" Type="http://schemas.openxmlformats.org/officeDocument/2006/relationships/hyperlink" Id="rId49"/>
    <Relationship TargetMode="External" Target="https://www.legis.iowa.gov/docs/iac/chapter/441.441.pdf" Type="http://schemas.openxmlformats.org/officeDocument/2006/relationships/hyperlink" Id="rId50"/>
    <Relationship TargetMode="External" Target="https://www.legis.iowa.gov/docs/iac/rule/441.41.27.pdf" Type="http://schemas.openxmlformats.org/officeDocument/2006/relationships/hyperlink" Id="rId51"/>
    <Relationship TargetMode="External" Target="https://www.legis.iowa.gov/docs/ico/chapter/239B.13.pdf" Type="http://schemas.openxmlformats.org/officeDocument/2006/relationships/hyperlink" Id="rId52"/>
    <Relationship TargetMode="External" Target="https://www.legis.iowa.gov/docs/ico/chapter/239B.2.pdf" Type="http://schemas.openxmlformats.org/officeDocument/2006/relationships/hyperlink" Id="rId53"/>
    <Relationship TargetMode="External" Target="https://www.legis.iowa.gov/docs/ico/chapter/239B.3.pdf" Type="http://schemas.openxmlformats.org/officeDocument/2006/relationships/hyperlink" Id="rId54"/>
    <Relationship TargetMode="External" Target="https://www.legis.iowa.gov/docs/ico/chapter/239B.4.pdf" Type="http://schemas.openxmlformats.org/officeDocument/2006/relationships/hyperlink" Id="rId55"/>
    <Relationship TargetMode="External" Target="https://www.legis.iowa.gov/docs/ico/chapter/239B.5.pdf" Type="http://schemas.openxmlformats.org/officeDocument/2006/relationships/hyperlink" Id="rId56"/>
    <Relationship TargetMode="External" Target="https://www.legis.iowa.gov/docs/ico/chapter/239B.6.pdf" Type="http://schemas.openxmlformats.org/officeDocument/2006/relationships/hyperlink" Id="rId57"/>
    <Relationship TargetMode="External" Target="https://www.legis.iowa.gov/docs/ico/chapter/239B.13.pdf" Type="http://schemas.openxmlformats.org/officeDocument/2006/relationships/hyperlink" Id="rId58"/>
    <Relationship TargetMode="External" Target="https://www.legis.iowa.gov/docs/ico/chapter/239B.18.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