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36</w:t>
      </w:r>
    </w:p>
    <w:p>
      <w:pPr>
        <w:spacing w:before="0" w:after="0"/>
        <w:ind w:left="120"/>
        <w:jc w:val="center"/>
      </w:pPr>
      <w:r>
        <w:rPr>
          <w:rFonts w:ascii="Times New Roman" w:hAnsi="Times New Roman"/>
          <w:b w:val="false"/>
          <w:i w:val="false"/>
          <w:color w:val="000000"/>
          <w:sz w:val="21"/>
        </w:rPr>
        <w:t>FACILITY ASSESSMENTS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6/1/30</w:t>
      </w:r>
    </w:p>
    <w:p>
      <w:pPr>
        <w:spacing w:before="0" w:after="0"/>
        <w:ind w:left="120"/>
        <w:jc w:val="both"/>
      </w:pPr>
      <w:r>
        <w:rPr>
          <w:rFonts w:ascii="Times New Roman" w:hAnsi="Times New Roman"/>
          <w:b/>
          <w:i w:val="false"/>
          <w:color w:val="000000"/>
          <w:sz w:val="22"/>
        </w:rPr>
        <w:t>441—36.1</w:t>
      </w:r>
      <w:r>
        <w:rPr>
          <w:rFonts w:ascii="Times New Roman" w:hAnsi="Times New Roman"/>
          <w:b/>
          <w:i w:val="false"/>
          <w:color w:val="000000"/>
          <w:sz w:val="22"/>
        </w:rPr>
        <w:t xml:space="preserve">(249A) </w:t>
      </w:r>
      <w:r>
        <w:rPr>
          <w:rFonts w:ascii="Times New Roman" w:hAnsi="Times New Roman"/>
          <w:b/>
          <w:i w:val="false"/>
          <w:color w:val="000000"/>
          <w:sz w:val="22"/>
        </w:rPr>
        <w:t xml:space="preserve">Intermediate care facilities for persons with an intellectual disability assessment. </w:t>
      </w:r>
      <w:r>
        <w:rPr>
          <w:rFonts w:ascii="Times New Roman" w:hAnsi="Times New Roman"/>
          <w:b w:val="false"/>
          <w:i w:val="false"/>
          <w:color w:val="000000"/>
          <w:sz w:val="22"/>
        </w:rPr>
        <w:t xml:space="preserve">Intermediate care facilities for persons with an intellectual disability (ICFs/ID) licensed in Iowa under </w:t>
      </w:r>
      <w:hyperlink r:id="rId5">
        <w:r>
          <w:rPr>
            <w:rStyle w:val="Hyperlink"/>
            <w:rFonts w:ascii="Times New Roman" w:hAnsi="Times New Roman"/>
            <w:b w:val="false"/>
            <w:i w:val="false"/>
            <w:color w:val="000000"/>
            <w:sz w:val="22"/>
          </w:rPr>
          <w:t>481—Chapter 64</w:t>
        </w:r>
      </w:hyperlink>
      <w:r>
        <w:rPr>
          <w:rFonts w:ascii="Times New Roman" w:hAnsi="Times New Roman"/>
          <w:b w:val="false"/>
          <w:i w:val="false"/>
          <w:color w:val="000000"/>
          <w:sz w:val="22"/>
        </w:rPr>
        <w:t>, including facilities not certified to participate in the Medicaid program, shall pay a quarterly fee to the department. The fee equals 5.5 percent of actual paid claims, from all sources, for the facility’s preceding quarter.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9064C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441—36.2</w:t>
      </w:r>
      <w:r>
        <w:rPr>
          <w:rFonts w:ascii="Times New Roman" w:hAnsi="Times New Roman"/>
          <w:b/>
          <w:i w:val="false"/>
          <w:color w:val="000000"/>
          <w:sz w:val="22"/>
        </w:rPr>
        <w:t xml:space="preserve">(249A) </w:t>
      </w:r>
      <w:r>
        <w:rPr>
          <w:rFonts w:ascii="Times New Roman" w:hAnsi="Times New Roman"/>
          <w:b/>
          <w:i w:val="false"/>
          <w:color w:val="000000"/>
          <w:sz w:val="22"/>
        </w:rPr>
        <w:t xml:space="preserve">Determination and payment of fee. </w:t>
      </w:r>
      <w:r>
        <w:rPr>
          <w:rFonts w:ascii="Times New Roman" w:hAnsi="Times New Roman"/>
          <w:b w:val="false"/>
          <w:i w:val="false"/>
          <w:color w:val="000000"/>
          <w:sz w:val="22"/>
        </w:rPr>
        <w:t xml:space="preserve">For all ICFs/ID licensed in Iowa under </w:t>
      </w:r>
      <w:hyperlink r:id="rId6">
        <w:r>
          <w:rPr>
            <w:rStyle w:val="Hyperlink"/>
            <w:rFonts w:ascii="Times New Roman" w:hAnsi="Times New Roman"/>
            <w:b w:val="false"/>
            <w:i w:val="false"/>
            <w:color w:val="000000"/>
            <w:sz w:val="22"/>
          </w:rPr>
          <w:t>481—Chapter 64</w:t>
        </w:r>
      </w:hyperlink>
      <w:r>
        <w:rPr>
          <w:rFonts w:ascii="Times New Roman" w:hAnsi="Times New Roman"/>
          <w:b w:val="false"/>
          <w:i w:val="false"/>
          <w:color w:val="000000"/>
          <w:sz w:val="22"/>
        </w:rPr>
        <w:t>, including facilities not certified to participate in the Medicaid program, the fee shall be determined and paid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36.2(1)</w:t>
      </w:r>
      <w:r>
        <w:rPr>
          <w:rFonts w:ascii="Times New Roman" w:hAnsi="Times New Roman"/>
          <w:b w:val="false"/>
          <w:i w:val="false"/>
          <w:color w:val="000000"/>
          <w:sz w:val="22"/>
        </w:rPr>
        <w:t> </w:t>
      </w:r>
      <w:r>
        <w:rPr>
          <w:rFonts w:ascii="Times New Roman" w:hAnsi="Times New Roman"/>
          <w:b w:val="false"/>
          <w:i w:val="false"/>
          <w:color w:val="000000"/>
          <w:sz w:val="22"/>
        </w:rPr>
        <w:t>Each facility shall pay the assessment to the department on a quarterly basis. The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a form prescribed by the department to calculate the quarterly fee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form and the quarterly fee no later than 30 days following the end of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36.2(2)</w:t>
      </w:r>
      <w:r>
        <w:rPr>
          <w:rFonts w:ascii="Times New Roman" w:hAnsi="Times New Roman"/>
          <w:b w:val="false"/>
          <w:i w:val="false"/>
          <w:color w:val="000000"/>
          <w:sz w:val="22"/>
        </w:rPr>
        <w:t> </w:t>
      </w:r>
      <w:r>
        <w:rPr>
          <w:rFonts w:ascii="Times New Roman" w:hAnsi="Times New Roman"/>
          <w:b w:val="false"/>
          <w:i w:val="false"/>
          <w:color w:val="000000"/>
          <w:sz w:val="22"/>
        </w:rPr>
        <w:t>The facility shall calculate the amount of the quarterly fee due by multiplying 5.5 percent by the facility’s total ICF/ID payments for services received from all sources during the preceding quarter,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managed care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Client participation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Medicaid fee-for-service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Private pay/insurance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Ancillary service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36.2(3)</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an ICF/ID has underpaid or overpaid the fee, the department will notify the ICF/ID of the amount of the unpaid fee or refund due. Such amount shall be due or refunded within 30 days of the issuance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36.2(4)</w:t>
      </w:r>
      <w:r>
        <w:rPr>
          <w:rFonts w:ascii="Times New Roman" w:hAnsi="Times New Roman"/>
          <w:b w:val="false"/>
          <w:i w:val="false"/>
          <w:color w:val="000000"/>
          <w:sz w:val="22"/>
        </w:rPr>
        <w:t> </w:t>
      </w:r>
      <w:r>
        <w:rPr>
          <w:rFonts w:ascii="Times New Roman" w:hAnsi="Times New Roman"/>
          <w:b w:val="false"/>
          <w:i w:val="false"/>
          <w:color w:val="000000"/>
          <w:sz w:val="22"/>
        </w:rPr>
        <w:t>An ICF/ID that fails to pay the fee within 30 days of the issuance of the notice shall pay a penalty in the amount of 1.5 percent of the unpaid fee due for each month or portion of a month that the unpaid fee is overdue.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ICF/ID substantiates good cause beyond the facility’s control for failure to make timely payment of the fee, the department will waive the penalty or a portion of the penalty. For purposes of this subrule, “good cause” means the same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for a good cause waiver must be submitted to the department within 30 days of notice to the facility that the penalty is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9064C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441—36.3</w:t>
      </w:r>
      <w:r>
        <w:rPr>
          <w:rFonts w:ascii="Times New Roman" w:hAnsi="Times New Roman"/>
          <w:b/>
          <w:i w:val="false"/>
          <w:color w:val="000000"/>
          <w:sz w:val="22"/>
        </w:rPr>
        <w:t xml:space="preserve">(249L) </w:t>
      </w:r>
      <w:r>
        <w:rPr>
          <w:rFonts w:ascii="Times New Roman" w:hAnsi="Times New Roman"/>
          <w:b/>
          <w:i w:val="false"/>
          <w:color w:val="000000"/>
          <w:sz w:val="22"/>
        </w:rPr>
        <w:t xml:space="preserve">Nursing facility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 xml:space="preserve">All nursing facilities as defined in Iowa Code section </w:t>
      </w:r>
      <w:hyperlink r:id="rId7">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 xml:space="preserve"> that are free-standing facilities or are operated by a hospital licensed pursuant to Iowa Code chapter </w:t>
      </w:r>
      <w:hyperlink r:id="rId8">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shall pay a quarterly assessment to the department, as determined under these rules, with the exception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Nursing facilities operated by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Non-state government-owned or government-operated nursing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Distinct-part skilled nursing units and swing-bed units operated by a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36.3(2)</w:t>
      </w:r>
      <w:r>
        <w:rPr>
          <w:rFonts w:ascii="Times New Roman" w:hAnsi="Times New Roman"/>
          <w:b w:val="false"/>
          <w:i w:val="false"/>
          <w:color w:val="000000"/>
          <w:sz w:val="22"/>
        </w:rPr>
        <w:t> </w:t>
      </w:r>
      <w:r>
        <w:rPr>
          <w:rFonts w:ascii="Times New Roman" w:hAnsi="Times New Roman"/>
          <w:b w:val="false"/>
          <w:i/>
          <w:color w:val="000000"/>
          <w:sz w:val="22"/>
        </w:rPr>
        <w:t xml:space="preserve">Assessment level.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April 1, 2023, nursing facilities with 46 or fewer licensed beds are required to pay a quality assurance assessment of $6.51 per non-Medicare patient day. Effective with assessment for the state fiscal year beginning July 1, 2021, the number of licensed beds on file with the department of inspections, appeals, and licensing as of June 1 of each year shall be used to determine the assessment level for the following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2024, nursing facilities designated as continuing care retirement centers (CCRCs) by the insurance division of the department of insurance and financial services are required to pay a quality assurance assessment of $6.51 per non-Medicare patient day. Effective with the assessment for the state fiscal year beginning July 1, 2021, continuing care retirement center designations as of June 1 of each year shall be used to determine the assessment level for the following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Effective April 1, 2023, nursing facilities with annual Iowa Medicaid patient days of 19,000 or more are required to pay a quality assurance assessment of $6.51 per non-Medicare patient day. Effective with assessment for the state fiscal year beginning July 1, 2021, the annual number of Iowa Medicaid patient days reported in the most current cost report submitted to the department as of June 1 of each year shall be used to determine the assessment level for the following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Effective April 1, 2023, all other nursing facilities are required to pay a quality assurance assessment of $33.90 per non-Medicare patient day.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9064C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441—36.4</w:t>
      </w:r>
      <w:r>
        <w:rPr>
          <w:rFonts w:ascii="Times New Roman" w:hAnsi="Times New Roman"/>
          <w:b/>
          <w:i w:val="false"/>
          <w:color w:val="000000"/>
          <w:sz w:val="22"/>
        </w:rPr>
        <w:t xml:space="preserve">(249L) </w:t>
      </w:r>
      <w:r>
        <w:rPr>
          <w:rFonts w:ascii="Times New Roman" w:hAnsi="Times New Roman"/>
          <w:b/>
          <w:i w:val="false"/>
          <w:color w:val="000000"/>
          <w:sz w:val="22"/>
        </w:rPr>
        <w:t xml:space="preserve">Determination and payment of assessment. </w:t>
      </w:r>
      <w:r>
        <w:rPr>
          <w:rFonts w:ascii="Times New Roman" w:hAnsi="Times New Roman"/>
          <w:b w:val="false"/>
          <w:i w:val="false"/>
          <w:color w:val="000000"/>
          <w:sz w:val="22"/>
        </w:rPr>
        <w:t>The assessment shall be determined and paid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36.4(1)</w:t>
      </w:r>
      <w:r>
        <w:rPr>
          <w:rFonts w:ascii="Times New Roman" w:hAnsi="Times New Roman"/>
          <w:b w:val="false"/>
          <w:i w:val="false"/>
          <w:color w:val="000000"/>
          <w:sz w:val="22"/>
        </w:rPr>
        <w:t> </w:t>
      </w:r>
      <w:r>
        <w:rPr>
          <w:rFonts w:ascii="Times New Roman" w:hAnsi="Times New Roman"/>
          <w:b w:val="false"/>
          <w:i w:val="false"/>
          <w:color w:val="000000"/>
          <w:sz w:val="22"/>
        </w:rPr>
        <w:t>Each nursing facility shall pay the quality assurance assessment to the department on a quarterly basis. The facility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Use the form prescribed by the department to calculate the quarterly assessment amount 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 the form and the quarterly assessment payment no later than 30 days following the end of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facility shall calculate the amount of the quarterly assessment due by multiplying the facility’s total non-Medicare patient days for the preceding quarter by the applicable assessment level as determined in subrule </w:t>
      </w:r>
      <w:hyperlink r:id="rId9">
        <w:r>
          <w:rPr>
            <w:rStyle w:val="Hyperlink"/>
            <w:rFonts w:ascii="Times New Roman" w:hAnsi="Times New Roman"/>
            <w:b w:val="false"/>
            <w:i w:val="false"/>
            <w:color w:val="000000"/>
            <w:sz w:val="22"/>
          </w:rPr>
          <w:t>36.6(2)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36.4(3)</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 nursing facility has underpaid or overpaid the quality assurance assessment, the department will notify the nursing facility of the amount of the unpaid quality assurance assessment or refund due. Such amount shall be due or refunded within 30 days of the issuance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36.4(4)</w:t>
      </w:r>
      <w:r>
        <w:rPr>
          <w:rFonts w:ascii="Times New Roman" w:hAnsi="Times New Roman"/>
          <w:b w:val="false"/>
          <w:i w:val="false"/>
          <w:color w:val="000000"/>
          <w:sz w:val="22"/>
        </w:rPr>
        <w:t> </w:t>
      </w:r>
      <w:r>
        <w:rPr>
          <w:rFonts w:ascii="Times New Roman" w:hAnsi="Times New Roman"/>
          <w:b w:val="false"/>
          <w:i w:val="false"/>
          <w:color w:val="000000"/>
          <w:sz w:val="22"/>
        </w:rPr>
        <w:t>A nursing facility that fails to pay the quality assurance assessment within 30 days of the issuance of the notice will pay a penalty in the amount of 1.5 percent of the quality assurance assessment amount owed for each month or portion of a month that the payment is overdue.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facility substantiates good cause beyond the facility’s control for failure to comply with payment of the quality assurance assessment, the department will waive the penalty or a portion of the penalty. For purposes of this subrule, “good cause” means the same as “good cause” for setting aside a default judgment under Iowa Rule of Civil Procedure 1.977.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for a good cause waiver must be submitted to the department within 30 days of notice to the facility that the penalty is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9064C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441—36.5</w:t>
      </w:r>
      <w:r>
        <w:rPr>
          <w:rFonts w:ascii="Times New Roman" w:hAnsi="Times New Roman"/>
          <w:b/>
          <w:i w:val="false"/>
          <w:color w:val="000000"/>
          <w:sz w:val="22"/>
        </w:rPr>
        <w:t xml:space="preserve">(249M) </w:t>
      </w:r>
      <w:r>
        <w:rPr>
          <w:rFonts w:ascii="Times New Roman" w:hAnsi="Times New Roman"/>
          <w:b/>
          <w:i w:val="false"/>
          <w:color w:val="000000"/>
          <w:sz w:val="22"/>
        </w:rPr>
        <w:t xml:space="preserve">Participating hospital assessment.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36.5(1)</w:t>
      </w:r>
      <w:r>
        <w:rPr>
          <w:rFonts w:ascii="Times New Roman" w:hAnsi="Times New Roman"/>
          <w:b w:val="false"/>
          <w:i w:val="false"/>
          <w:color w:val="000000"/>
          <w:sz w:val="22"/>
        </w:rPr>
        <w:t> </w:t>
      </w:r>
      <w:r>
        <w:rPr>
          <w:rFonts w:ascii="Times New Roman" w:hAnsi="Times New Roman"/>
          <w:b w:val="false"/>
          <w:i/>
          <w:color w:val="000000"/>
          <w:sz w:val="22"/>
        </w:rPr>
        <w:t xml:space="preserve">Participating hospitals. </w:t>
      </w:r>
      <w:r>
        <w:rPr>
          <w:rFonts w:ascii="Times New Roman" w:hAnsi="Times New Roman"/>
          <w:b w:val="false"/>
          <w:i w:val="false"/>
          <w:color w:val="000000"/>
          <w:sz w:val="22"/>
        </w:rPr>
        <w:t xml:space="preserve">For the purpose of the health care access assessment program, a “participating hospital” is defined as a non-state-owned hospital licensed under Iowa Code chapter </w:t>
      </w:r>
      <w:hyperlink r:id="rId10">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is paid on a prospective payment system basis by Medicare and the medical assistance programs for inpatient and outpatient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36.5(2)</w:t>
      </w:r>
      <w:r>
        <w:rPr>
          <w:rFonts w:ascii="Times New Roman" w:hAnsi="Times New Roman"/>
          <w:b w:val="false"/>
          <w:i w:val="false"/>
          <w:color w:val="000000"/>
          <w:sz w:val="22"/>
        </w:rPr>
        <w:t> </w:t>
      </w:r>
      <w:r>
        <w:rPr>
          <w:rFonts w:ascii="Times New Roman" w:hAnsi="Times New Roman"/>
          <w:b w:val="false"/>
          <w:i/>
          <w:color w:val="000000"/>
          <w:sz w:val="22"/>
        </w:rPr>
        <w:t xml:space="preserve">Assessment. </w:t>
      </w:r>
      <w:r>
        <w:rPr>
          <w:rFonts w:ascii="Times New Roman" w:hAnsi="Times New Roman"/>
          <w:b w:val="false"/>
          <w:i w:val="false"/>
          <w:color w:val="000000"/>
          <w:sz w:val="22"/>
        </w:rPr>
        <w:t>Participating hospitals are required to pay a quarterly health care access assessment equal to 1.26 percent of net patient revenue as specified in the hospital’s fiscal year 2008 Medicare cost report. “Net patient revenue” means all revenue reported for acute patient care and services but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Contractual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Charity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Bad debt,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Medicare revenue,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revenue derived from sources other than hospital operations,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Nonoperating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Other operating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Skilled nursing facility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Physician revenue,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Long-term care revenue.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9064C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441—36.6</w:t>
      </w:r>
      <w:r>
        <w:rPr>
          <w:rFonts w:ascii="Times New Roman" w:hAnsi="Times New Roman"/>
          <w:b/>
          <w:i w:val="false"/>
          <w:color w:val="000000"/>
          <w:sz w:val="22"/>
        </w:rPr>
        <w:t xml:space="preserve">(249M) </w:t>
      </w:r>
      <w:r>
        <w:rPr>
          <w:rFonts w:ascii="Times New Roman" w:hAnsi="Times New Roman"/>
          <w:b/>
          <w:i w:val="false"/>
          <w:color w:val="000000"/>
          <w:sz w:val="22"/>
        </w:rPr>
        <w:t xml:space="preserve">Determination and payment of assessment. </w:t>
      </w:r>
      <w:r>
        <w:rPr>
          <w:rFonts w:ascii="Times New Roman" w:hAnsi="Times New Roman"/>
          <w:b w:val="false"/>
          <w:i w:val="false"/>
          <w:color w:val="000000"/>
          <w:sz w:val="22"/>
        </w:rPr>
        <w:t>The assessment shall be determined and paid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36.6(1)</w:t>
      </w:r>
      <w:r>
        <w:rPr>
          <w:rFonts w:ascii="Times New Roman" w:hAnsi="Times New Roman"/>
          <w:b w:val="false"/>
          <w:i w:val="false"/>
          <w:color w:val="000000"/>
          <w:sz w:val="22"/>
        </w:rPr>
        <w:t> </w:t>
      </w:r>
      <w:r>
        <w:rPr>
          <w:rFonts w:ascii="Times New Roman" w:hAnsi="Times New Roman"/>
          <w:b w:val="false"/>
          <w:i w:val="false"/>
          <w:color w:val="000000"/>
          <w:sz w:val="22"/>
        </w:rPr>
        <w:t>The department will calculate the annual amount of the health care access assessment as 1.26 percent of net patient revenue as specified in the participating hospital’s fiscal year 2008 Medicare cost report. The annual amount will be divided by four to calculate the quarterly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36.6(2)</w:t>
      </w:r>
      <w:r>
        <w:rPr>
          <w:rFonts w:ascii="Times New Roman" w:hAnsi="Times New Roman"/>
          <w:b w:val="false"/>
          <w:i w:val="false"/>
          <w:color w:val="000000"/>
          <w:sz w:val="22"/>
        </w:rPr>
        <w:t> </w:t>
      </w:r>
      <w:r>
        <w:rPr>
          <w:rFonts w:ascii="Times New Roman" w:hAnsi="Times New Roman"/>
          <w:b w:val="false"/>
          <w:i w:val="false"/>
          <w:color w:val="000000"/>
          <w:sz w:val="22"/>
        </w:rPr>
        <w:t>Each participating hospital shall pay the health care access assessment to the department on a quarterly basis. The hospital shall submit the quarterly assessment payment no later than 30 days following the end of each calendar quarter.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36.6(3)</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participating hospital shall retain and preserve the Medicare cost report and financial statements used to prepare the cost report in accordance with Iowa Code section </w:t>
      </w:r>
      <w:hyperlink r:id="rId11">
        <w:r>
          <w:rPr>
            <w:rStyle w:val="Hyperlink"/>
            <w:rFonts w:ascii="Times New Roman" w:hAnsi="Times New Roman"/>
            <w:b w:val="false"/>
            <w:i w:val="false"/>
            <w:color w:val="000000"/>
            <w:sz w:val="22"/>
          </w:rPr>
          <w:t>249M.3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36.6(4)</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a participating hospital has underpaid or overpaid the health care access assessment, the department will notify the hospital of the amount of the unpaid health care access assessment or refund due. Such amount shall be due or refunded within 30 days of the issuance of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36.6(5)</w:t>
      </w:r>
      <w:r>
        <w:rPr>
          <w:rFonts w:ascii="Times New Roman" w:hAnsi="Times New Roman"/>
          <w:b w:val="false"/>
          <w:i w:val="false"/>
          <w:color w:val="000000"/>
          <w:sz w:val="22"/>
        </w:rPr>
        <w:t> </w:t>
      </w:r>
      <w:r>
        <w:rPr>
          <w:rFonts w:ascii="Times New Roman" w:hAnsi="Times New Roman"/>
          <w:b w:val="false"/>
          <w:i w:val="false"/>
          <w:color w:val="000000"/>
          <w:sz w:val="22"/>
        </w:rPr>
        <w:t>A participating hospital that fails to pay the health care access assessment within 30 days of the issuance of the notice will pay a penalty in the amount of 1.5 percent of the health care access assessment amount owed for each month or portion of a month that the payment is overdue.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the department determines that good cause is shown for failure to comply with payment of the health care access assessment, the department will waive the penalty or a portion of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Requests for a good cause waiver must be submitted to the department within 30 days of notice to the facility that the penalty is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9064C</w:t>
      </w:r>
      <w:r>
        <w:rPr>
          <w:rFonts w:ascii="Times New Roman" w:hAnsi="Times New Roman"/>
          <w:b w:val="false"/>
          <w:i w:val="false"/>
          <w:color w:val="000000"/>
          <w:sz w:val="16"/>
        </w:rPr>
        <w:t>, IAB 4/2/25, effective 6/1/25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2">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249L</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249M</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11/18/02, Notice 10/2/02—published 12/11/02, effective 2/1/03]</w:t>
      </w:r>
    </w:p>
    <w:p>
      <w:pPr>
        <w:spacing w:before="0" w:after="0"/>
        <w:ind w:left="120"/>
        <w:jc w:val="center"/>
      </w:pPr>
      <w:r>
        <w:rPr>
          <w:rFonts w:ascii="Times New Roman" w:hAnsi="Times New Roman"/>
          <w:b w:val="false"/>
          <w:i w:val="false"/>
          <w:color w:val="000000"/>
          <w:sz w:val="21"/>
        </w:rPr>
        <w:t>[Filed emergency 11/19/03—published 12/10/03, effective 12/1/03]</w:t>
      </w:r>
    </w:p>
    <w:p>
      <w:pPr>
        <w:spacing w:before="0" w:after="0"/>
        <w:ind w:left="120"/>
        <w:jc w:val="center"/>
      </w:pPr>
      <w:r>
        <w:rPr>
          <w:rFonts w:ascii="Times New Roman" w:hAnsi="Times New Roman"/>
          <w:b w:val="false"/>
          <w:i w:val="false"/>
          <w:color w:val="000000"/>
          <w:sz w:val="21"/>
        </w:rPr>
        <w:t>[Filed emergency 8/12/04—published 9/1/04, effective 8/12/04]</w:t>
      </w:r>
    </w:p>
    <w:p>
      <w:pPr>
        <w:spacing w:before="0" w:after="0"/>
        <w:ind w:left="120"/>
        <w:jc w:val="center"/>
      </w:pPr>
      <w:r>
        <w:rPr>
          <w:rFonts w:ascii="Times New Roman" w:hAnsi="Times New Roman"/>
          <w:b w:val="false"/>
          <w:i w:val="false"/>
          <w:color w:val="000000"/>
          <w:sz w:val="21"/>
        </w:rPr>
        <w:t>[Filed 10/14/04, Notice 9/1/04—published 11/10/04, effective 12/15/04]</w:t>
      </w:r>
    </w:p>
    <w:p>
      <w:pPr>
        <w:spacing w:before="0" w:after="0"/>
        <w:ind w:left="120"/>
        <w:jc w:val="center"/>
      </w:pPr>
      <w:r>
        <w:rPr>
          <w:rFonts w:ascii="Times New Roman" w:hAnsi="Times New Roman"/>
          <w:b w:val="false"/>
          <w:i w:val="false"/>
          <w:color w:val="000000"/>
          <w:sz w:val="21"/>
        </w:rPr>
        <w:t>[Filed emergency 6/17/05—published 7/6/05, effective 7/1/05]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5/15/08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8258B</w:t>
      </w:r>
      <w:r>
        <w:rPr>
          <w:rFonts w:ascii="Times New Roman" w:hAnsi="Times New Roman"/>
          <w:b w:val="false"/>
          <w:i w:val="false"/>
          <w:color w:val="000000"/>
          <w:sz w:val="21"/>
        </w:rPr>
        <w:t xml:space="preserve"> (Notice ARC 8086B, IAB 8/26/09)</w:t>
      </w:r>
      <w:r>
        <w:rPr>
          <w:rFonts w:ascii="Times New Roman" w:hAnsi="Times New Roman"/>
          <w:b w:val="false"/>
          <w:i w:val="false"/>
          <w:color w:val="000000"/>
          <w:sz w:val="21"/>
        </w:rPr>
        <w:t>, IAB 11/4/09, effective 1/1/10]</w:t>
      </w:r>
    </w:p>
    <w:p>
      <w:pPr>
        <w:spacing w:before="0" w:after="0"/>
        <w:ind w:left="120"/>
        <w:jc w:val="center"/>
      </w:pPr>
      <w:r>
        <w:rPr>
          <w:rFonts w:ascii="Times New Roman" w:hAnsi="Times New Roman"/>
          <w:b w:val="false"/>
          <w:i w:val="false"/>
          <w:color w:val="000000"/>
          <w:sz w:val="21"/>
        </w:rPr>
        <w:t>[Filed Emergency ARC 8894B, IAB 6/30/10, effective 7/1/10]</w:t>
      </w:r>
    </w:p>
    <w:p>
      <w:pPr>
        <w:spacing w:before="0" w:after="0"/>
        <w:ind w:left="120"/>
        <w:jc w:val="center"/>
      </w:pPr>
      <w:r>
        <w:rPr>
          <w:rFonts w:ascii="Times New Roman" w:hAnsi="Times New Roman"/>
          <w:b w:val="false"/>
          <w:i w:val="false"/>
          <w:color w:val="000000"/>
          <w:sz w:val="21"/>
        </w:rPr>
        <w:t>[Filed ARC 9127B</w:t>
      </w:r>
      <w:r>
        <w:rPr>
          <w:rFonts w:ascii="Times New Roman" w:hAnsi="Times New Roman"/>
          <w:b w:val="false"/>
          <w:i w:val="false"/>
          <w:color w:val="000000"/>
          <w:sz w:val="21"/>
        </w:rPr>
        <w:t xml:space="preserve"> (Notice ARC 8896B, IAB 6/30/10)</w:t>
      </w:r>
      <w:r>
        <w:rPr>
          <w:rFonts w:ascii="Times New Roman" w:hAnsi="Times New Roman"/>
          <w:b w:val="false"/>
          <w:i w:val="false"/>
          <w:color w:val="000000"/>
          <w:sz w:val="21"/>
        </w:rPr>
        <w:t>, IAB 10/6/10, effective 11/10/10]</w:t>
      </w:r>
    </w:p>
    <w:p>
      <w:pPr>
        <w:spacing w:before="0" w:after="0"/>
        <w:ind w:left="120"/>
        <w:jc w:val="center"/>
      </w:pPr>
      <w:r>
        <w:rPr>
          <w:rFonts w:ascii="Times New Roman" w:hAnsi="Times New Roman"/>
          <w:b w:val="false"/>
          <w:i w:val="false"/>
          <w:color w:val="000000"/>
          <w:sz w:val="21"/>
        </w:rPr>
        <w:t>[Filed ARC 9892B</w:t>
      </w:r>
      <w:r>
        <w:rPr>
          <w:rFonts w:ascii="Times New Roman" w:hAnsi="Times New Roman"/>
          <w:b w:val="false"/>
          <w:i w:val="false"/>
          <w:color w:val="000000"/>
          <w:sz w:val="21"/>
        </w:rPr>
        <w:t xml:space="preserve"> (Notice ARC 9731B, IAB 9/7/11)</w:t>
      </w:r>
      <w:r>
        <w:rPr>
          <w:rFonts w:ascii="Times New Roman" w:hAnsi="Times New Roman"/>
          <w:b w:val="false"/>
          <w:i w:val="false"/>
          <w:color w:val="000000"/>
          <w:sz w:val="21"/>
        </w:rPr>
        <w:t>, IAB 11/30/11, effective 2/1/12]</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p>
    <w:p>
      <w:pPr>
        <w:spacing w:before="0" w:after="0"/>
        <w:ind w:left="120"/>
        <w:jc w:val="center"/>
      </w:pPr>
      <w:r>
        <w:rPr>
          <w:rFonts w:ascii="Times New Roman" w:hAnsi="Times New Roman"/>
          <w:b w:val="false"/>
          <w:i w:val="false"/>
          <w:color w:val="000000"/>
          <w:sz w:val="21"/>
        </w:rPr>
        <w:t>[Filed ARC 2886C</w:t>
      </w:r>
      <w:r>
        <w:rPr>
          <w:rFonts w:ascii="Times New Roman" w:hAnsi="Times New Roman"/>
          <w:b w:val="false"/>
          <w:i w:val="false"/>
          <w:color w:val="000000"/>
          <w:sz w:val="21"/>
        </w:rPr>
        <w:t xml:space="preserve"> (Notice ARC 2775C, IAB 10/12/16)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3872C</w:t>
      </w:r>
      <w:r>
        <w:rPr>
          <w:rFonts w:ascii="Times New Roman" w:hAnsi="Times New Roman"/>
          <w:b w:val="false"/>
          <w:i w:val="false"/>
          <w:color w:val="000000"/>
          <w:sz w:val="21"/>
        </w:rPr>
        <w:t xml:space="preserve"> (Notice ARC 3785C, IAB 5/9/18)</w:t>
      </w:r>
      <w:r>
        <w:rPr>
          <w:rFonts w:ascii="Times New Roman" w:hAnsi="Times New Roman"/>
          <w:b w:val="false"/>
          <w:i w:val="false"/>
          <w:color w:val="000000"/>
          <w:sz w:val="21"/>
        </w:rPr>
        <w:t>, IAB 7/4/18, effective 9/1/18]</w:t>
      </w:r>
    </w:p>
    <w:p>
      <w:pPr>
        <w:spacing w:before="0" w:after="0"/>
        <w:ind w:left="120"/>
        <w:jc w:val="center"/>
      </w:pPr>
      <w:r>
        <w:rPr>
          <w:rFonts w:ascii="Times New Roman" w:hAnsi="Times New Roman"/>
          <w:b w:val="false"/>
          <w:i w:val="false"/>
          <w:color w:val="000000"/>
          <w:sz w:val="21"/>
        </w:rPr>
        <w:t>[Filed ARC 4428C</w:t>
      </w:r>
      <w:r>
        <w:rPr>
          <w:rFonts w:ascii="Times New Roman" w:hAnsi="Times New Roman"/>
          <w:b w:val="false"/>
          <w:i w:val="false"/>
          <w:color w:val="000000"/>
          <w:sz w:val="21"/>
        </w:rPr>
        <w:t xml:space="preserve"> (Notice ARC 4287C, IAB 2/13/19)</w:t>
      </w:r>
      <w:r>
        <w:rPr>
          <w:rFonts w:ascii="Times New Roman" w:hAnsi="Times New Roman"/>
          <w:b w:val="false"/>
          <w:i w:val="false"/>
          <w:color w:val="000000"/>
          <w:sz w:val="21"/>
        </w:rPr>
        <w:t>, IAB 5/8/19, effective 7/1/19]</w:t>
      </w:r>
    </w:p>
    <w:p>
      <w:pPr>
        <w:spacing w:before="0" w:after="0"/>
        <w:ind w:left="120"/>
        <w:jc w:val="center"/>
      </w:pPr>
      <w:r>
        <w:rPr>
          <w:rFonts w:ascii="Times New Roman" w:hAnsi="Times New Roman"/>
          <w:b w:val="false"/>
          <w:i w:val="false"/>
          <w:color w:val="000000"/>
          <w:sz w:val="21"/>
        </w:rPr>
        <w:t>[Filed ARC 5306C</w:t>
      </w:r>
      <w:r>
        <w:rPr>
          <w:rFonts w:ascii="Times New Roman" w:hAnsi="Times New Roman"/>
          <w:b w:val="false"/>
          <w:i w:val="false"/>
          <w:color w:val="000000"/>
          <w:sz w:val="21"/>
        </w:rPr>
        <w:t xml:space="preserve"> (Notice ARC 5165C, IAB 9/9/20)</w:t>
      </w:r>
      <w:r>
        <w:rPr>
          <w:rFonts w:ascii="Times New Roman" w:hAnsi="Times New Roman"/>
          <w:b w:val="false"/>
          <w:i w:val="false"/>
          <w:color w:val="000000"/>
          <w:sz w:val="21"/>
        </w:rPr>
        <w:t>, IAB 12/2/20, effective 7/1/21]</w:t>
      </w:r>
    </w:p>
    <w:p>
      <w:pPr>
        <w:spacing w:before="0" w:after="0"/>
        <w:ind w:left="120"/>
        <w:jc w:val="center"/>
      </w:pPr>
      <w:r>
        <w:rPr>
          <w:rFonts w:ascii="Times New Roman" w:hAnsi="Times New Roman"/>
          <w:b w:val="false"/>
          <w:i w:val="false"/>
          <w:color w:val="000000"/>
          <w:sz w:val="21"/>
        </w:rPr>
        <w:t>[Filed ARC 6556C</w:t>
      </w:r>
      <w:r>
        <w:rPr>
          <w:rFonts w:ascii="Times New Roman" w:hAnsi="Times New Roman"/>
          <w:b w:val="false"/>
          <w:i w:val="false"/>
          <w:color w:val="000000"/>
          <w:sz w:val="21"/>
        </w:rPr>
        <w:t xml:space="preserve"> (Notice ARC 6377C, IAB 6/29/22)</w:t>
      </w:r>
      <w:r>
        <w:rPr>
          <w:rFonts w:ascii="Times New Roman" w:hAnsi="Times New Roman"/>
          <w:b w:val="false"/>
          <w:i w:val="false"/>
          <w:color w:val="000000"/>
          <w:sz w:val="21"/>
        </w:rPr>
        <w:t>, IAB 10/5/22, effective 12/1/22]</w:t>
      </w:r>
    </w:p>
    <w:p>
      <w:pPr>
        <w:spacing w:before="0" w:after="0"/>
        <w:ind w:left="120"/>
        <w:jc w:val="center"/>
      </w:pPr>
      <w:r>
        <w:rPr>
          <w:rFonts w:ascii="Times New Roman" w:hAnsi="Times New Roman"/>
          <w:b w:val="false"/>
          <w:i w:val="false"/>
          <w:color w:val="000000"/>
          <w:sz w:val="21"/>
        </w:rPr>
        <w:t>[Filed ARC 9064C</w:t>
      </w:r>
      <w:r>
        <w:rPr>
          <w:rFonts w:ascii="Times New Roman" w:hAnsi="Times New Roman"/>
          <w:b w:val="false"/>
          <w:i w:val="false"/>
          <w:color w:val="000000"/>
          <w:sz w:val="21"/>
        </w:rPr>
        <w:t xml:space="preserve"> (Notice ARC 8712C, IAB 1/8/25)</w:t>
      </w:r>
      <w:r>
        <w:rPr>
          <w:rFonts w:ascii="Times New Roman" w:hAnsi="Times New Roman"/>
          <w:b w:val="false"/>
          <w:i w:val="false"/>
          <w:color w:val="000000"/>
          <w:sz w:val="21"/>
        </w:rPr>
        <w:t>, IAB 4/2/25, effective 6/1/25]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81.64.pdf" Type="http://schemas.openxmlformats.org/officeDocument/2006/relationships/hyperlink" Id="rId5"/>
    <Relationship TargetMode="External" Target="https://www.legis.iowa.gov/docs/iac/chapter/481.64.pdf" Type="http://schemas.openxmlformats.org/officeDocument/2006/relationships/hyperlink" Id="rId6"/>
    <Relationship TargetMode="External" Target="https://www.legis.iowa.gov/docs/ico/chapter/135C.1.pdf" Type="http://schemas.openxmlformats.org/officeDocument/2006/relationships/hyperlink" Id="rId7"/>
    <Relationship TargetMode="External" Target="https://www.legis.iowa.gov/docs/ico/chapter/135B.pdf" Type="http://schemas.openxmlformats.org/officeDocument/2006/relationships/hyperlink" Id="rId8"/>
    <Relationship TargetMode="External" Target="https://www.legis.iowa.gov/docs/iac/rule/441.36.3.pdf" Type="http://schemas.openxmlformats.org/officeDocument/2006/relationships/hyperlink" Id="rId9"/>
    <Relationship TargetMode="External" Target="https://www.legis.iowa.gov/docs/ico/chapter/135B.pdf" Type="http://schemas.openxmlformats.org/officeDocument/2006/relationships/hyperlink" Id="rId10"/>
    <Relationship TargetMode="External" Target="https://www.legis.iowa.gov/docs/ico/chapter/249M.3.pdf" Type="http://schemas.openxmlformats.org/officeDocument/2006/relationships/hyperlink" Id="rId11"/>
    <Relationship TargetMode="External" Target="https://www.legis.iowa.gov/docs/ico/chapter/249A.pdf" Type="http://schemas.openxmlformats.org/officeDocument/2006/relationships/hyperlink" Id="rId12"/>
    <Relationship TargetMode="External" Target="https://www.legis.iowa.gov/docs/ico/chapter/249L.pdf" Type="http://schemas.openxmlformats.org/officeDocument/2006/relationships/hyperlink" Id="rId13"/>
    <Relationship TargetMode="External" Target="https://www.legis.iowa.gov/docs/ico/chapter/249M.pdf" Type="http://schemas.openxmlformats.org/officeDocument/2006/relationships/hyperlink" Id="rId1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