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304</w:t>
      </w:r>
    </w:p>
    <w:p>
      <w:pPr>
        <w:spacing w:before="0" w:after="0"/>
        <w:ind w:left="120"/>
        <w:jc w:val="center"/>
      </w:pPr>
      <w:r>
        <w:rPr>
          <w:rFonts w:ascii="Times New Roman" w:hAnsi="Times New Roman"/>
          <w:b w:val="false"/>
          <w:i w:val="false"/>
          <w:color w:val="000000"/>
          <w:sz w:val="21"/>
        </w:rPr>
        <w:t>DISTRICT BEHAVIORAL HEALTH ADVISORY COUNCILS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441—304.1</w:t>
      </w:r>
      <w:r>
        <w:rPr>
          <w:rFonts w:ascii="Times New Roman" w:hAnsi="Times New Roman"/>
          <w:b/>
          <w:i w:val="false"/>
          <w:color w:val="000000"/>
          <w:sz w:val="22"/>
        </w:rPr>
        <w:t xml:space="preserve">(225A)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means the chairperson of the district behavioral health advisory council who has been elected by a majority of advisory council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behavioral health advisory council”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“advisory council”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225A.1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441—304.2</w:t>
      </w:r>
      <w:r>
        <w:rPr>
          <w:rFonts w:ascii="Times New Roman" w:hAnsi="Times New Roman"/>
          <w:b/>
          <w:i w:val="false"/>
          <w:color w:val="000000"/>
          <w:sz w:val="22"/>
        </w:rPr>
        <w:t xml:space="preserve">(225A) </w:t>
      </w:r>
      <w:r>
        <w:rPr>
          <w:rFonts w:ascii="Times New Roman" w:hAnsi="Times New Roman"/>
          <w:b/>
          <w:i w:val="false"/>
          <w:color w:val="000000"/>
          <w:sz w:val="22"/>
        </w:rPr>
        <w:t xml:space="preserve">Appointment.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of the advisory council will be appointed by the BH-ASO in accordance with the parameters of Iowa Code section </w:t>
      </w:r>
      <w:hyperlink r:id="rId6">
        <w:r>
          <w:rPr>
            <w:rStyle w:val="Hyperlink"/>
            <w:rFonts w:ascii="Times New Roman" w:hAnsi="Times New Roman"/>
            <w:b w:val="false"/>
            <w:i w:val="false"/>
            <w:color w:val="000000"/>
            <w:sz w:val="22"/>
          </w:rPr>
          <w:t>225A.5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304.2(2)</w:t>
      </w:r>
      <w:r>
        <w:rPr>
          <w:rFonts w:ascii="Times New Roman" w:hAnsi="Times New Roman"/>
          <w:b w:val="false"/>
          <w:i w:val="false"/>
          <w:color w:val="000000"/>
          <w:sz w:val="22"/>
        </w:rPr>
        <w:t> </w:t>
      </w:r>
      <w:r>
        <w:rPr>
          <w:rFonts w:ascii="Times New Roman" w:hAnsi="Times New Roman"/>
          <w:b w:val="false"/>
          <w:i w:val="false"/>
          <w:color w:val="000000"/>
          <w:sz w:val="22"/>
        </w:rPr>
        <w:t>The appointments will be for three-year staggered terms that expire on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304.2(3)</w:t>
      </w:r>
      <w:r>
        <w:rPr>
          <w:rFonts w:ascii="Times New Roman" w:hAnsi="Times New Roman"/>
          <w:b w:val="false"/>
          <w:i w:val="false"/>
          <w:color w:val="000000"/>
          <w:sz w:val="22"/>
        </w:rPr>
        <w:t> </w:t>
      </w:r>
      <w:r>
        <w:rPr>
          <w:rFonts w:ascii="Times New Roman" w:hAnsi="Times New Roman"/>
          <w:b w:val="false"/>
          <w:i w:val="false"/>
          <w:color w:val="000000"/>
          <w:sz w:val="22"/>
        </w:rPr>
        <w:t>Vacancies will be filled in accordance with requirements established in the district contract. Members appointed to fill a vacancy will serve for the balance of the unexpired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304.2(4)</w:t>
      </w:r>
      <w:r>
        <w:rPr>
          <w:rFonts w:ascii="Times New Roman" w:hAnsi="Times New Roman"/>
          <w:b w:val="false"/>
          <w:i w:val="false"/>
          <w:color w:val="000000"/>
          <w:sz w:val="22"/>
        </w:rPr>
        <w:t> </w:t>
      </w:r>
      <w:r>
        <w:rPr>
          <w:rFonts w:ascii="Times New Roman" w:hAnsi="Times New Roman"/>
          <w:b w:val="false"/>
          <w:i w:val="false"/>
          <w:color w:val="000000"/>
          <w:sz w:val="22"/>
        </w:rPr>
        <w:t>Absences.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 unexcused absences in a 12-month period constitutes grounds for the BH-ASO to request nomination of an alternate representative to fill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Absences may be excused by notification provided to the chairperson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chairperson of the advisory council is charged with providing notification of absences to the BH-ASO.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441—304.3</w:t>
      </w:r>
      <w:r>
        <w:rPr>
          <w:rFonts w:ascii="Times New Roman" w:hAnsi="Times New Roman"/>
          <w:b/>
          <w:i w:val="false"/>
          <w:color w:val="000000"/>
          <w:sz w:val="22"/>
        </w:rPr>
        <w:t xml:space="preserve">(225A) </w:t>
      </w:r>
      <w:r>
        <w:rPr>
          <w:rFonts w:ascii="Times New Roman" w:hAnsi="Times New Roman"/>
          <w:b/>
          <w:i w:val="false"/>
          <w:color w:val="000000"/>
          <w:sz w:val="22"/>
        </w:rPr>
        <w:t xml:space="preserve">Officers.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304.3(1)</w:t>
      </w:r>
      <w:r>
        <w:rPr>
          <w:rFonts w:ascii="Times New Roman" w:hAnsi="Times New Roman"/>
          <w:b w:val="false"/>
          <w:i w:val="false"/>
          <w:color w:val="000000"/>
          <w:sz w:val="22"/>
        </w:rPr>
        <w:t> </w:t>
      </w:r>
      <w:r>
        <w:rPr>
          <w:rFonts w:ascii="Times New Roman" w:hAnsi="Times New Roman"/>
          <w:b w:val="false"/>
          <w:i w:val="false"/>
          <w:color w:val="000000"/>
          <w:sz w:val="22"/>
        </w:rPr>
        <w:t>Officers of the advisory council will consist of a chairperson and a vice chairperson, who will be elected at the first meeting of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officer may serve no more than three consecutive terms as chairperson or vice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vacancy in the office of chairperson will be filled by elevation of the vice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vacancy in the office of vice chairperson will be filled by election at the next meeting after the vacancy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vacancy must be filled by an individual meeting the same qualifications as the departing advisory council member in accordance with Iowa Code section </w:t>
      </w:r>
      <w:hyperlink r:id="rId7">
        <w:r>
          <w:rPr>
            <w:rStyle w:val="Hyperlink"/>
            <w:rFonts w:ascii="Times New Roman" w:hAnsi="Times New Roman"/>
            <w:b w:val="false"/>
            <w:i w:val="false"/>
            <w:color w:val="000000"/>
            <w:sz w:val="22"/>
          </w:rPr>
          <w:t>225A.5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w:t>
      </w:r>
      <w:r>
        <w:rPr>
          <w:rFonts w:ascii="Times New Roman" w:hAnsi="Times New Roman"/>
          <w:b w:val="false"/>
          <w:i w:val="false"/>
          <w:color w:val="000000"/>
          <w:sz w:val="22"/>
        </w:rPr>
        <w:t> </w:t>
      </w:r>
      <w:r>
        <w:rPr>
          <w:rFonts w:ascii="Times New Roman" w:hAnsi="Times New Roman"/>
          <w:b w:val="false"/>
          <w:i w:val="false"/>
          <w:color w:val="000000"/>
          <w:sz w:val="22"/>
        </w:rPr>
        <w:t>Duties of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chairperson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Preside at all meetings of the advisory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Appoint subcommittees as deemed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Designate the chairperson of each subcommittee.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vice chairperson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the duties of the chairperson if the chairperson is absent or unable to act. When so acting, the vice chairperson will have all the powers of and be subject to all restrictions upon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other duties as may be assigned by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441—304.4</w:t>
      </w:r>
      <w:r>
        <w:rPr>
          <w:rFonts w:ascii="Times New Roman" w:hAnsi="Times New Roman"/>
          <w:b/>
          <w:i w:val="false"/>
          <w:color w:val="000000"/>
          <w:sz w:val="22"/>
        </w:rPr>
        <w:t xml:space="preserve">(225A)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w:t>
      </w:r>
      <w:r>
        <w:rPr>
          <w:rFonts w:ascii="Times New Roman" w:hAnsi="Times New Roman"/>
          <w:b w:val="false"/>
          <w:i w:val="false"/>
          <w:color w:val="000000"/>
          <w:sz w:val="22"/>
        </w:rPr>
        <w:t> </w:t>
      </w:r>
      <w:r>
        <w:rPr>
          <w:rFonts w:ascii="Times New Roman" w:hAnsi="Times New Roman"/>
          <w:b w:val="false"/>
          <w:i w:val="false"/>
          <w:color w:val="000000"/>
          <w:sz w:val="22"/>
        </w:rPr>
        <w:t>The advisory council will establish a meeting schedule on an annual basis to conduct its business. There will be a minimum of four meetings per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304.4(2)</w:t>
      </w:r>
      <w:r>
        <w:rPr>
          <w:rFonts w:ascii="Times New Roman" w:hAnsi="Times New Roman"/>
          <w:b w:val="false"/>
          <w:i w:val="false"/>
          <w:color w:val="000000"/>
          <w:sz w:val="22"/>
        </w:rPr>
        <w:t> </w:t>
      </w:r>
      <w:r>
        <w:rPr>
          <w:rFonts w:ascii="Times New Roman" w:hAnsi="Times New Roman"/>
          <w:b w:val="false"/>
          <w:i w:val="false"/>
          <w:color w:val="000000"/>
          <w:sz w:val="22"/>
        </w:rPr>
        <w:t>A majority of appointed members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304.4(3)</w:t>
      </w:r>
      <w:r>
        <w:rPr>
          <w:rFonts w:ascii="Times New Roman" w:hAnsi="Times New Roman"/>
          <w:b w:val="false"/>
          <w:i w:val="false"/>
          <w:color w:val="000000"/>
          <w:sz w:val="22"/>
        </w:rPr>
        <w:t> </w:t>
      </w:r>
      <w:r>
        <w:rPr>
          <w:rFonts w:ascii="Times New Roman" w:hAnsi="Times New Roman"/>
          <w:b w:val="false"/>
          <w:i w:val="false"/>
          <w:color w:val="000000"/>
          <w:sz w:val="22"/>
        </w:rPr>
        <w:t>When a quorum is present, a position is carried by affirmative vote of the majority of those present. No official business that requires a vote of the membership will be conducted without a quorum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441—304.5</w:t>
      </w:r>
      <w:r>
        <w:rPr>
          <w:rFonts w:ascii="Times New Roman" w:hAnsi="Times New Roman"/>
          <w:b/>
          <w:i w:val="false"/>
          <w:color w:val="000000"/>
          <w:sz w:val="22"/>
        </w:rPr>
        <w:t xml:space="preserve">(225A) </w:t>
      </w:r>
      <w:r>
        <w:rPr>
          <w:rFonts w:ascii="Times New Roman" w:hAnsi="Times New Roman"/>
          <w:b/>
          <w:i w:val="false"/>
          <w:color w:val="000000"/>
          <w:sz w:val="22"/>
        </w:rPr>
        <w:t xml:space="preserve">Subcommittees. </w:t>
      </w:r>
      <w:r>
        <w:rPr>
          <w:rFonts w:ascii="Times New Roman" w:hAnsi="Times New Roman"/>
          <w:b w:val="false"/>
          <w:i w:val="false"/>
          <w:color w:val="000000"/>
          <w:sz w:val="22"/>
        </w:rPr>
        <w:t>The advisory council may designate one or more subcommittees to perform such duties as may be deemed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441—304.6</w:t>
      </w:r>
      <w:r>
        <w:rPr>
          <w:rFonts w:ascii="Times New Roman" w:hAnsi="Times New Roman"/>
          <w:b/>
          <w:i w:val="false"/>
          <w:color w:val="000000"/>
          <w:sz w:val="22"/>
        </w:rPr>
        <w:t xml:space="preserve">(225A) </w:t>
      </w:r>
      <w:r>
        <w:rPr>
          <w:rFonts w:ascii="Times New Roman" w:hAnsi="Times New Roman"/>
          <w:b/>
          <w:i w:val="false"/>
          <w:color w:val="000000"/>
          <w:sz w:val="22"/>
        </w:rPr>
        <w:t xml:space="preserve">Advisory council composition. </w:t>
      </w:r>
      <w:r>
        <w:rPr>
          <w:rFonts w:ascii="Times New Roman" w:hAnsi="Times New Roman"/>
          <w:b w:val="false"/>
          <w:i w:val="false"/>
          <w:color w:val="000000"/>
          <w:sz w:val="22"/>
        </w:rPr>
        <w:t>The advisory council’s composition will be developed and maintained pursuant to Iowa Code chapter </w:t>
      </w:r>
      <w:hyperlink r:id="rId8">
        <w:r>
          <w:rPr>
            <w:rStyle w:val="Hyperlink"/>
            <w:rFonts w:ascii="Times New Roman" w:hAnsi="Times New Roman"/>
            <w:b w:val="false"/>
            <w:i w:val="false"/>
            <w:color w:val="000000"/>
            <w:sz w:val="22"/>
          </w:rPr>
          <w:t>225A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225A.5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9274C</w:t>
      </w:r>
      <w:r>
        <w:rPr>
          <w:rFonts w:ascii="Times New Roman" w:hAnsi="Times New Roman"/>
          <w:b w:val="false"/>
          <w:i w:val="false"/>
          <w:color w:val="000000"/>
          <w:sz w:val="21"/>
        </w:rPr>
        <w:t xml:space="preserve"> (Notice ARC 9016C, IAB 3/19/25)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5A.1.pdf" Type="http://schemas.openxmlformats.org/officeDocument/2006/relationships/hyperlink" Id="rId5"/>
    <Relationship TargetMode="External" Target="https://www.legis.iowa.gov/docs/ico/chapter/225A.5.pdf" Type="http://schemas.openxmlformats.org/officeDocument/2006/relationships/hyperlink" Id="rId6"/>
    <Relationship TargetMode="External" Target="https://www.legis.iowa.gov/docs/ico/chapter/225A.5.pdf" Type="http://schemas.openxmlformats.org/officeDocument/2006/relationships/hyperlink" Id="rId7"/>
    <Relationship TargetMode="External" Target="https://www.legis.iowa.gov/docs/ico/chapter/225A.pdf" Type="http://schemas.openxmlformats.org/officeDocument/2006/relationships/hyperlink" Id="rId8"/>
    <Relationship TargetMode="External" Target="https://www.legis.iowa.gov/docs/ico/chapter/225A.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