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302</w:t>
      </w:r>
    </w:p>
    <w:p>
      <w:pPr>
        <w:spacing w:before="0" w:after="0"/>
        <w:ind w:left="120"/>
        <w:jc w:val="center"/>
      </w:pPr>
      <w:r>
        <w:rPr>
          <w:rFonts w:ascii="Times New Roman" w:hAnsi="Times New Roman"/>
          <w:b w:val="false"/>
          <w:i w:val="false"/>
          <w:color w:val="000000"/>
          <w:sz w:val="21"/>
        </w:rPr>
        <w:t>BEHAVIORAL HEALTH ADMINISTRATIVE SERVICE ORGANIZATIONS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441—302.1</w:t>
      </w:r>
      <w:r>
        <w:rPr>
          <w:rFonts w:ascii="Times New Roman" w:hAnsi="Times New Roman"/>
          <w:b/>
          <w:i w:val="false"/>
          <w:color w:val="000000"/>
          <w:sz w:val="22"/>
        </w:rPr>
        <w:t xml:space="preserve">(225A) </w:t>
      </w:r>
      <w:r>
        <w:rPr>
          <w:rFonts w:ascii="Times New Roman" w:hAnsi="Times New Roman"/>
          <w:b/>
          <w:i w:val="false"/>
          <w:color w:val="000000"/>
          <w:sz w:val="22"/>
        </w:rPr>
        <w:t xml:space="preserve">Implementation and maintenance of programs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302.1(1)</w:t>
      </w:r>
      <w:r>
        <w:rPr>
          <w:rFonts w:ascii="Times New Roman" w:hAnsi="Times New Roman"/>
          <w:b w:val="false"/>
          <w:i w:val="false"/>
          <w:color w:val="000000"/>
          <w:sz w:val="22"/>
        </w:rPr>
        <w:t> </w:t>
      </w:r>
      <w:r>
        <w:rPr>
          <w:rFonts w:ascii="Times New Roman" w:hAnsi="Times New Roman"/>
          <w:b w:val="false"/>
          <w:i/>
          <w:color w:val="000000"/>
          <w:sz w:val="22"/>
        </w:rPr>
        <w:t xml:space="preserve">Authority to designate BH-ASOs. </w:t>
      </w:r>
      <w:r>
        <w:rPr>
          <w:rFonts w:ascii="Times New Roman" w:hAnsi="Times New Roman"/>
          <w:b w:val="false"/>
          <w:i w:val="false"/>
          <w:color w:val="000000"/>
          <w:sz w:val="22"/>
        </w:rPr>
        <w:t xml:space="preserve">The department will designate one BH-ASO for each district as set forth in Iowa Code chapter </w:t>
      </w:r>
      <w:hyperlink r:id="rId5">
        <w:r>
          <w:rPr>
            <w:rStyle w:val="Hyperlink"/>
            <w:rFonts w:ascii="Times New Roman" w:hAnsi="Times New Roman"/>
            <w:b w:val="false"/>
            <w:i w:val="false"/>
            <w:color w:val="000000"/>
            <w:sz w:val="22"/>
          </w:rPr>
          <w:t>225A</w:t>
        </w:r>
      </w:hyperlink>
      <w:r>
        <w:rPr>
          <w:rFonts w:ascii="Times New Roman" w:hAnsi="Times New Roman"/>
          <w:b w:val="false"/>
          <w:i w:val="false"/>
          <w:color w:val="000000"/>
          <w:sz w:val="22"/>
        </w:rPr>
        <w:t>. The department will enter into a contract with a designated BH-ASO to coordinate and oversee behavioral health services in one or more behavioral health district. If the department terminates its contract with a BH-ASO for any reason, the entity is no longer designated by the department as a BH-ASO.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302.1(2)</w:t>
      </w:r>
      <w:r>
        <w:rPr>
          <w:rFonts w:ascii="Times New Roman" w:hAnsi="Times New Roman"/>
          <w:b w:val="false"/>
          <w:i w:val="false"/>
          <w:color w:val="000000"/>
          <w:sz w:val="22"/>
        </w:rPr>
        <w:t> </w:t>
      </w:r>
      <w:r>
        <w:rPr>
          <w:rFonts w:ascii="Times New Roman" w:hAnsi="Times New Roman"/>
          <w:b w:val="false"/>
          <w:i/>
          <w:color w:val="000000"/>
          <w:sz w:val="22"/>
        </w:rPr>
        <w:t xml:space="preserve">Community needs assessment. </w:t>
      </w:r>
      <w:r>
        <w:rPr>
          <w:rFonts w:ascii="Times New Roman" w:hAnsi="Times New Roman"/>
          <w:b w:val="false"/>
          <w:i w:val="false"/>
          <w:color w:val="000000"/>
          <w:sz w:val="22"/>
        </w:rPr>
        <w:t>A BH-ASO will complete an assessment of community needs to identify behavioral health service system strengths, gaps, and emerging issues within its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302.1(3)</w:t>
      </w:r>
      <w:r>
        <w:rPr>
          <w:rFonts w:ascii="Times New Roman" w:hAnsi="Times New Roman"/>
          <w:b w:val="false"/>
          <w:i w:val="false"/>
          <w:color w:val="000000"/>
          <w:sz w:val="22"/>
        </w:rPr>
        <w:t> </w:t>
      </w:r>
      <w:r>
        <w:rPr>
          <w:rFonts w:ascii="Times New Roman" w:hAnsi="Times New Roman"/>
          <w:b w:val="false"/>
          <w:i/>
          <w:color w:val="000000"/>
          <w:sz w:val="22"/>
        </w:rPr>
        <w:t xml:space="preserve">District behavioral health service system plan. </w:t>
      </w:r>
      <w:r>
        <w:rPr>
          <w:rFonts w:ascii="Times New Roman" w:hAnsi="Times New Roman"/>
          <w:b w:val="false"/>
          <w:i w:val="false"/>
          <w:color w:val="000000"/>
          <w:sz w:val="22"/>
        </w:rPr>
        <w:t>A BH-ASO will collaborate with the district behavioral health advisory council and other stakeholders to develop a district behavioral health service system plan to describe all behavioral health services and supports and other activities in support of the behavioral health system to be delivered by the BH-ASO.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302.1(4)</w:t>
      </w:r>
      <w:r>
        <w:rPr>
          <w:rFonts w:ascii="Times New Roman" w:hAnsi="Times New Roman"/>
          <w:b w:val="false"/>
          <w:i w:val="false"/>
          <w:color w:val="000000"/>
          <w:sz w:val="22"/>
        </w:rPr>
        <w:t> </w:t>
      </w:r>
      <w:r>
        <w:rPr>
          <w:rFonts w:ascii="Times New Roman" w:hAnsi="Times New Roman"/>
          <w:b w:val="false"/>
          <w:i/>
          <w:color w:val="000000"/>
          <w:sz w:val="22"/>
        </w:rPr>
        <w:t xml:space="preserve">BH-ASO operations. </w:t>
      </w:r>
      <w:r>
        <w:rPr>
          <w:rFonts w:ascii="Times New Roman" w:hAnsi="Times New Roman"/>
          <w:b w:val="false"/>
          <w:i w:val="false"/>
          <w:color w:val="000000"/>
          <w:sz w:val="22"/>
        </w:rPr>
        <w:t>A BH-ASO will implement its approved district plan and maintain operations necessary to meet its obligations under state and federal laws and regulations and as established in the district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441—302.2</w:t>
      </w:r>
      <w:r>
        <w:rPr>
          <w:rFonts w:ascii="Times New Roman" w:hAnsi="Times New Roman"/>
          <w:b/>
          <w:i w:val="false"/>
          <w:color w:val="000000"/>
          <w:sz w:val="22"/>
        </w:rPr>
        <w:t xml:space="preserve">(225A) </w:t>
      </w:r>
      <w:r>
        <w:rPr>
          <w:rFonts w:ascii="Times New Roman" w:hAnsi="Times New Roman"/>
          <w:b/>
          <w:i w:val="false"/>
          <w:color w:val="000000"/>
          <w:sz w:val="22"/>
        </w:rPr>
        <w:t xml:space="preserve">Service availability and accessibility.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302.2(1)</w:t>
      </w:r>
      <w:r>
        <w:rPr>
          <w:rFonts w:ascii="Times New Roman" w:hAnsi="Times New Roman"/>
          <w:b w:val="false"/>
          <w:i w:val="false"/>
          <w:color w:val="000000"/>
          <w:sz w:val="22"/>
        </w:rPr>
        <w:t> </w:t>
      </w:r>
      <w:r>
        <w:rPr>
          <w:rFonts w:ascii="Times New Roman" w:hAnsi="Times New Roman"/>
          <w:b w:val="false"/>
          <w:i/>
          <w:color w:val="000000"/>
          <w:sz w:val="22"/>
        </w:rPr>
        <w:t xml:space="preserve">Minimum access standards. </w:t>
      </w:r>
      <w:r>
        <w:rPr>
          <w:rFonts w:ascii="Times New Roman" w:hAnsi="Times New Roman"/>
          <w:b w:val="false"/>
          <w:i w:val="false"/>
          <w:color w:val="000000"/>
          <w:sz w:val="22"/>
        </w:rPr>
        <w:t>A BH-ASO will ensure available, accessible, and adequate numbers of providers, locations, and personnel for the provision of behavioral health services. At a minimum, access to services provided by behavioral health safety net service providers will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Crisis assessment and evaluation. An individual will have immediate access to a crisis screening and will have a crisis assessment by an appropriately licensed or credentialed mental health or substance use disorder treatment professional within 24 hours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centers. An individual will have access to services within 60 minutes or 60 miles of an individual’s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Mobile crisis response. An individual will have an in-person, community-based response within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Crisis-stabilization, community-based services. An individual will have access to services within the time frames set forth in </w:t>
      </w:r>
      <w:hyperlink r:id="rId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Crisis-stabilization, residential services. An individual will have access to services within the time frames set forth in </w:t>
      </w:r>
      <w:hyperlink r:id="rId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Mental health outpatient.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will be located within 60 minutes or 60 miles of an individual’s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an emergency, outpatient services shall be initiated to an individual within 15 minutes of telephone contact. When the assessed need is urgent, outpatient services shall be provided to an individual within one hour of presentation or 24 hours of telephone contact. When the assessed need is for routine care, outpatient services shall be provided to an individual within four weeks of the individual’s request for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Assertive community treatment. The service will be available to all individuals within a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intensive psychiatric rehabilitation. An individual will have access to services within the time frames set forth in </w:t>
      </w:r>
      <w:hyperlink r:id="rId8">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Mental health inpatient. The service will be located within 60 minutes or 60 miles of an individual’s residence in urban areas and within 90 minutes or 90 miles of an individual’s residence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outpatient treatment. An individual will have access to services within 60 minutes or 60 miles of the individual’s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intensive outpatient services. An individual will have access to services within 60 minutes or 60 miles of an individual’s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residential treatment services. An individual will have access to services within 60 minutes or 60 miles of an individual’s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 The service will be available to all individuals within a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Twenty-three-hour observation and holding. An individual will have access to services within the time frames set forth in </w:t>
      </w:r>
      <w:hyperlink r:id="rId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respite. An individual will have access to services within the time frames set forth in </w:t>
      </w:r>
      <w:hyperlink r:id="rId1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302.2(2)</w:t>
      </w:r>
      <w:r>
        <w:rPr>
          <w:rFonts w:ascii="Times New Roman" w:hAnsi="Times New Roman"/>
          <w:b w:val="false"/>
          <w:i w:val="false"/>
          <w:color w:val="000000"/>
          <w:sz w:val="22"/>
        </w:rPr>
        <w:t> </w:t>
      </w:r>
      <w:r>
        <w:rPr>
          <w:rFonts w:ascii="Times New Roman" w:hAnsi="Times New Roman"/>
          <w:b w:val="false"/>
          <w:i/>
          <w:color w:val="000000"/>
          <w:sz w:val="22"/>
        </w:rPr>
        <w:t xml:space="preserve">Priority populations for substance use disorder treatment. </w:t>
      </w:r>
      <w:r>
        <w:rPr>
          <w:rFonts w:ascii="Times New Roman" w:hAnsi="Times New Roman"/>
          <w:b w:val="false"/>
          <w:i w:val="false"/>
          <w:color w:val="000000"/>
          <w:sz w:val="22"/>
        </w:rPr>
        <w:t xml:space="preserve">In addition to the standards in subrule </w:t>
      </w:r>
      <w:hyperlink r:id="rId11">
        <w:r>
          <w:rPr>
            <w:rStyle w:val="Hyperlink"/>
            <w:rFonts w:ascii="Times New Roman" w:hAnsi="Times New Roman"/>
            <w:b w:val="false"/>
            <w:i w:val="false"/>
            <w:color w:val="000000"/>
            <w:sz w:val="22"/>
          </w:rPr>
          <w:t>302.2(1)</w:t>
        </w:r>
      </w:hyperlink>
      <w:r>
        <w:rPr>
          <w:rFonts w:ascii="Times New Roman" w:hAnsi="Times New Roman"/>
          <w:b w:val="false"/>
          <w:i w:val="false"/>
          <w:color w:val="000000"/>
          <w:sz w:val="22"/>
        </w:rPr>
        <w:t>, behavioral health safety net service providers of substance use disorder treatment will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45 CFR Part 96</w:t>
      </w:r>
      <w:r>
        <w:rPr>
          <w:rFonts w:ascii="Times New Roman" w:hAnsi="Times New Roman"/>
          <w:b w:val="false"/>
          <w:i w:val="false"/>
          <w:color w:val="000000"/>
          <w:sz w:val="22"/>
        </w:rPr>
        <w:t>, Subpart L, as amended to July 1, 2025, priority admission to substance use disorder treatment services must be offered to the following populations in this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who are pregnant and who use injection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who are pregnant.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who use injection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are pregnant must be admitted to the recommended American Society of Addiction Medicine (ASAM) level of care within 48 hours of receiving the recommendation for treatment from a licensed substance use disorder treatment provider. If admission is not possible within 48 hours, the individual must be offered interim services as defined in </w:t>
      </w:r>
      <w:r>
        <w:rPr>
          <w:rFonts w:ascii="Times New Roman" w:hAnsi="Times New Roman"/>
          <w:b w:val="false"/>
          <w:i w:val="false"/>
          <w:color w:val="000000"/>
          <w:sz w:val="22"/>
        </w:rPr>
        <w:t>45 CFR 96.121</w:t>
      </w:r>
      <w:r>
        <w:rPr>
          <w:rFonts w:ascii="Times New Roman" w:hAnsi="Times New Roman"/>
          <w:b w:val="false"/>
          <w:i w:val="false"/>
          <w:color w:val="000000"/>
          <w:sz w:val="22"/>
        </w:rPr>
        <w:t xml:space="preserve"> as amended to July 1, 2025, and must be referred to the statewide waitlist maintained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who report the use of injection drugs and are not pregnant must be admitted to the recommended ASAM level of care within 14 days of receiving the recommendation for treatment from a licensed substance use disorder treatment provider. If admission is not possible within 14 days, interim services must be offered within 48 hours and the admission deadline is then extended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302.2(3)</w:t>
      </w:r>
      <w:r>
        <w:rPr>
          <w:rFonts w:ascii="Times New Roman" w:hAnsi="Times New Roman"/>
          <w:b w:val="false"/>
          <w:i w:val="false"/>
          <w:color w:val="000000"/>
          <w:sz w:val="22"/>
        </w:rPr>
        <w:t> </w:t>
      </w:r>
      <w:r>
        <w:rPr>
          <w:rFonts w:ascii="Times New Roman" w:hAnsi="Times New Roman"/>
          <w:b w:val="false"/>
          <w:i/>
          <w:color w:val="000000"/>
          <w:sz w:val="22"/>
        </w:rPr>
        <w:t xml:space="preserve">Free choice of providers. </w:t>
      </w:r>
      <w:r>
        <w:rPr>
          <w:rFonts w:ascii="Times New Roman" w:hAnsi="Times New Roman"/>
          <w:b w:val="false"/>
          <w:i w:val="false"/>
          <w:color w:val="000000"/>
          <w:sz w:val="22"/>
        </w:rPr>
        <w:t>A BH-ASO will ensure that individuals may receive services from any qualified network provider of the individual’s choosing that is available to provide the services to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441—302.3</w:t>
      </w:r>
      <w:r>
        <w:rPr>
          <w:rFonts w:ascii="Times New Roman" w:hAnsi="Times New Roman"/>
          <w:b/>
          <w:i w:val="false"/>
          <w:color w:val="000000"/>
          <w:sz w:val="22"/>
        </w:rPr>
        <w:t xml:space="preserve">(225A) </w:t>
      </w:r>
      <w:r>
        <w:rPr>
          <w:rFonts w:ascii="Times New Roman" w:hAnsi="Times New Roman"/>
          <w:b/>
          <w:i w:val="false"/>
          <w:color w:val="000000"/>
          <w:sz w:val="22"/>
        </w:rPr>
        <w:t xml:space="preserve">Provider oversight and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302.3(1)</w:t>
      </w:r>
      <w:r>
        <w:rPr>
          <w:rFonts w:ascii="Times New Roman" w:hAnsi="Times New Roman"/>
          <w:b w:val="false"/>
          <w:i w:val="false"/>
          <w:color w:val="000000"/>
          <w:sz w:val="22"/>
        </w:rPr>
        <w:t> </w:t>
      </w:r>
      <w:r>
        <w:rPr>
          <w:rFonts w:ascii="Times New Roman" w:hAnsi="Times New Roman"/>
          <w:b w:val="false"/>
          <w:i/>
          <w:color w:val="000000"/>
          <w:sz w:val="22"/>
        </w:rPr>
        <w:t xml:space="preserve">Provider contracts. </w:t>
      </w:r>
      <w:r>
        <w:rPr>
          <w:rFonts w:ascii="Times New Roman" w:hAnsi="Times New Roman"/>
          <w:b w:val="false"/>
          <w:i w:val="false"/>
          <w:color w:val="000000"/>
          <w:sz w:val="22"/>
        </w:rPr>
        <w:t>To receive payment for services through a BH-ASO, providers of behavioral health services must have a provider contract with the BH-ASO. Providers that are eligible to enroll with the Iowa Medicaid program must also be enrolled as an Iowa 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302.3(2)</w:t>
      </w:r>
      <w:r>
        <w:rPr>
          <w:rFonts w:ascii="Times New Roman" w:hAnsi="Times New Roman"/>
          <w:b w:val="false"/>
          <w:i w:val="false"/>
          <w:color w:val="000000"/>
          <w:sz w:val="22"/>
        </w:rPr>
        <w:t> </w:t>
      </w:r>
      <w:r>
        <w:rPr>
          <w:rFonts w:ascii="Times New Roman" w:hAnsi="Times New Roman"/>
          <w:b w:val="false"/>
          <w:i/>
          <w:color w:val="000000"/>
          <w:sz w:val="22"/>
        </w:rPr>
        <w:t xml:space="preserve">Claim submission. </w:t>
      </w:r>
      <w:r>
        <w:rPr>
          <w:rFonts w:ascii="Times New Roman" w:hAnsi="Times New Roman"/>
          <w:b w:val="false"/>
          <w:i w:val="false"/>
          <w:color w:val="000000"/>
          <w:sz w:val="22"/>
        </w:rPr>
        <w:t>Providers of behavioral health services will submit claims for services on at least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Claims for services rendered for persons eligible for Medicaid will be submitted to the managed care organization with which the person is enrolled in accordance with the managed care organization’s claim submission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Claims for services rendered for persons not eligible for Medicaid will be submitted to the Iowa Medicaid program according to the process set by the department for BH-ASO claims and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will be submitted electronically on the proper claim forms following the requirements set forth in rule </w:t>
      </w:r>
      <w:hyperlink r:id="rId12">
        <w:r>
          <w:rPr>
            <w:rStyle w:val="Hyperlink"/>
            <w:rFonts w:ascii="Times New Roman" w:hAnsi="Times New Roman"/>
            <w:b w:val="false"/>
            <w:i w:val="false"/>
            <w:color w:val="000000"/>
            <w:sz w:val="22"/>
          </w:rPr>
          <w:t>441—80.2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will follow the time limits for claim submission set forth in rule </w:t>
      </w:r>
      <w:hyperlink r:id="rId13">
        <w:r>
          <w:rPr>
            <w:rStyle w:val="Hyperlink"/>
            <w:rFonts w:ascii="Times New Roman" w:hAnsi="Times New Roman"/>
            <w:b w:val="false"/>
            <w:i w:val="false"/>
            <w:color w:val="000000"/>
            <w:sz w:val="22"/>
          </w:rPr>
          <w:t>441—80.4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302.3(3)</w:t>
      </w:r>
      <w:r>
        <w:rPr>
          <w:rFonts w:ascii="Times New Roman" w:hAnsi="Times New Roman"/>
          <w:b w:val="false"/>
          <w:i w:val="false"/>
          <w:color w:val="000000"/>
          <w:sz w:val="22"/>
        </w:rPr>
        <w:t> </w:t>
      </w:r>
      <w:r>
        <w:rPr>
          <w:rFonts w:ascii="Times New Roman" w:hAnsi="Times New Roman"/>
          <w:b w:val="false"/>
          <w:i/>
          <w:color w:val="000000"/>
          <w:sz w:val="22"/>
        </w:rPr>
        <w:t xml:space="preserve">Provider monitoring. </w:t>
      </w:r>
      <w:r>
        <w:rPr>
          <w:rFonts w:ascii="Times New Roman" w:hAnsi="Times New Roman"/>
          <w:b w:val="false"/>
          <w:i w:val="false"/>
          <w:color w:val="000000"/>
          <w:sz w:val="22"/>
        </w:rPr>
        <w:t>A BH-ASO will conduct monitoring activities to oversee providers of behavioral health services within the district and monitor the Iowa Medicaid provider sanction list and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behavioral health provider suspended by Medicaid, suspend participation in the BH-ASO provider network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behavioral health provider terminated by Medicaid, terminate participation in the BH-ASO provider network within 30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225A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9274C</w:t>
      </w:r>
      <w:r>
        <w:rPr>
          <w:rFonts w:ascii="Times New Roman" w:hAnsi="Times New Roman"/>
          <w:b w:val="false"/>
          <w:i w:val="false"/>
          <w:color w:val="000000"/>
          <w:sz w:val="21"/>
        </w:rPr>
        <w:t xml:space="preserve"> (Notice ARC 9016C,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5A.pdf" Type="http://schemas.openxmlformats.org/officeDocument/2006/relationships/hyperlink" Id="rId5"/>
    <Relationship TargetMode="External" Target="https://www.legis.iowa.gov/docs/iac/chapter/441.24.pdf" Type="http://schemas.openxmlformats.org/officeDocument/2006/relationships/hyperlink" Id="rId6"/>
    <Relationship TargetMode="External" Target="https://www.legis.iowa.gov/docs/iac/chapter/441.24.pdf" Type="http://schemas.openxmlformats.org/officeDocument/2006/relationships/hyperlink" Id="rId7"/>
    <Relationship TargetMode="External" Target="https://www.legis.iowa.gov/docs/iac/chapter/441.24.pdf" Type="http://schemas.openxmlformats.org/officeDocument/2006/relationships/hyperlink" Id="rId8"/>
    <Relationship TargetMode="External" Target="https://www.legis.iowa.gov/docs/iac/chapter/441.24.pdf" Type="http://schemas.openxmlformats.org/officeDocument/2006/relationships/hyperlink" Id="rId9"/>
    <Relationship TargetMode="External" Target="https://www.legis.iowa.gov/docs/iac/chapter/441.24.pdf" Type="http://schemas.openxmlformats.org/officeDocument/2006/relationships/hyperlink" Id="rId10"/>
    <Relationship TargetMode="External" Target="https://www.legis.iowa.gov/docs/iac/rule/441.302.2.pdf" Type="http://schemas.openxmlformats.org/officeDocument/2006/relationships/hyperlink" Id="rId11"/>
    <Relationship TargetMode="External" Target="https://www.legis.iowa.gov/docs/iac/rule/441.80.2.pdf" Type="http://schemas.openxmlformats.org/officeDocument/2006/relationships/hyperlink" Id="rId12"/>
    <Relationship TargetMode="External" Target="https://www.legis.iowa.gov/docs/iac/rule/441.80.4.pdf" Type="http://schemas.openxmlformats.org/officeDocument/2006/relationships/hyperlink" Id="rId13"/>
    <Relationship TargetMode="External" Target="https://www.legis.iowa.gov/docs/ico/chapter/225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