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w:t>
      </w:r>
    </w:p>
    <w:p>
      <w:pPr>
        <w:spacing w:before="0" w:after="0"/>
        <w:ind w:left="120"/>
        <w:jc w:val="center"/>
      </w:pPr>
      <w:r>
        <w:rPr>
          <w:rFonts w:ascii="Times New Roman" w:hAnsi="Times New Roman"/>
          <w:b w:val="false"/>
          <w:i w:val="false"/>
          <w:color w:val="000000"/>
          <w:sz w:val="21"/>
        </w:rPr>
        <w:t>STATE RESOURCE CENTER</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441—30.1</w:t>
      </w:r>
      <w:r>
        <w:rPr>
          <w:rFonts w:ascii="Times New Roman" w:hAnsi="Times New Roman"/>
          <w:b/>
          <w:i w:val="false"/>
          <w:color w:val="000000"/>
          <w:sz w:val="22"/>
        </w:rPr>
        <w:t xml:space="preserve">(218,222) </w:t>
      </w:r>
      <w:r>
        <w:rPr>
          <w:rFonts w:ascii="Times New Roman" w:hAnsi="Times New Roman"/>
          <w:b/>
          <w:i w:val="false"/>
          <w:color w:val="000000"/>
          <w:sz w:val="22"/>
        </w:rPr>
        <w:t xml:space="preserve">Admission. </w:t>
      </w:r>
      <w:r>
        <w:rPr>
          <w:rFonts w:ascii="Times New Roman" w:hAnsi="Times New Roman"/>
          <w:b w:val="false"/>
          <w:i w:val="false"/>
          <w:color w:val="000000"/>
          <w:sz w:val="22"/>
        </w:rPr>
        <w:t>Express written consent of the individual or the individual’s parent, guardian, or legal representative shall be secured before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the care, treatment, or evaluation of an individual by a resource center shall be made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made using the form for application for admission to a state resource center and shall be accompanied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resource center agreement and consent for services form,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information specifically requested in writing by the resource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readmission. </w:t>
      </w:r>
      <w:r>
        <w:rPr>
          <w:rFonts w:ascii="Times New Roman" w:hAnsi="Times New Roman"/>
          <w:b w:val="false"/>
          <w:i w:val="false"/>
          <w:color w:val="000000"/>
          <w:sz w:val="22"/>
        </w:rPr>
        <w:t>When the application is for a readmission, the resource center may waive the resubmittal of any information already in the files other than the form for application for admission to a state resource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w:t>
      </w:r>
      <w:r>
        <w:rPr>
          <w:rFonts w:ascii="Times New Roman" w:hAnsi="Times New Roman"/>
          <w:b w:val="false"/>
          <w:i w:val="false"/>
          <w:color w:val="000000"/>
          <w:sz w:val="22"/>
        </w:rPr>
        <w:t> </w:t>
      </w:r>
      <w:r>
        <w:rPr>
          <w:rFonts w:ascii="Times New Roman" w:hAnsi="Times New Roman"/>
          <w:b w:val="false"/>
          <w:i/>
          <w:color w:val="000000"/>
          <w:sz w:val="22"/>
        </w:rPr>
        <w:t xml:space="preserve">Receipt of application. </w:t>
      </w:r>
      <w:r>
        <w:rPr>
          <w:rFonts w:ascii="Times New Roman" w:hAnsi="Times New Roman"/>
          <w:b w:val="false"/>
          <w:i w:val="false"/>
          <w:color w:val="000000"/>
          <w:sz w:val="22"/>
        </w:rPr>
        <w:t>Upon receipt of an application, the resource center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an individual with outpatient evaluation treatment, training, or habilitation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Admit an individual on a temporary basis for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preadmission diagnostic evaluation to determine whether the individual would be appropriate to admit to the regular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diagnostic evaluation to assist in planning for community-based services or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admission. </w:t>
      </w:r>
      <w:r>
        <w:rPr>
          <w:rFonts w:ascii="Times New Roman" w:hAnsi="Times New Roman"/>
          <w:b w:val="false"/>
          <w:i w:val="false"/>
          <w:color w:val="000000"/>
          <w:sz w:val="22"/>
        </w:rPr>
        <w:t>Eligibility for admission will be determined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preadmission diagnostic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established diagnosis of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availability of an appropriate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availability of space at the facility.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222.13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222.13A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9275C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441—30.2</w:t>
      </w:r>
      <w:r>
        <w:rPr>
          <w:rFonts w:ascii="Times New Roman" w:hAnsi="Times New Roman"/>
          <w:b/>
          <w:i w:val="false"/>
          <w:color w:val="000000"/>
          <w:sz w:val="22"/>
        </w:rPr>
        <w:t xml:space="preserve">(222) </w:t>
      </w:r>
      <w:r>
        <w:rPr>
          <w:rFonts w:ascii="Times New Roman" w:hAnsi="Times New Roman"/>
          <w:b/>
          <w:i w:val="false"/>
          <w:color w:val="000000"/>
          <w:sz w:val="22"/>
        </w:rPr>
        <w:t xml:space="preserve">Liability for support. </w:t>
      </w:r>
      <w:r>
        <w:rPr>
          <w:rFonts w:ascii="Times New Roman" w:hAnsi="Times New Roman"/>
          <w:b w:val="false"/>
          <w:i w:val="false"/>
          <w:color w:val="000000"/>
          <w:sz w:val="22"/>
        </w:rPr>
        <w:t xml:space="preserve">The liability of any person, other than the individual, who is legally bound for the support of any individual under 18 years of age will be determined in the same manner as parent liability in rule </w:t>
      </w:r>
      <w:hyperlink r:id="rId7">
        <w:r>
          <w:rPr>
            <w:rStyle w:val="Hyperlink"/>
            <w:rFonts w:ascii="Times New Roman" w:hAnsi="Times New Roman"/>
            <w:b w:val="false"/>
            <w:i w:val="false"/>
            <w:color w:val="000000"/>
            <w:sz w:val="22"/>
          </w:rPr>
          <w:t>441—156.2</w:t>
        </w:r>
      </w:hyperlink>
      <w:r>
        <w:rPr>
          <w:rFonts w:ascii="Times New Roman" w:hAnsi="Times New Roman"/>
          <w:b w:val="false"/>
          <w:i w:val="false"/>
          <w:color w:val="000000"/>
          <w:sz w:val="22"/>
        </w:rPr>
        <w:t>(234), except that the maximum liability will not exceed the standards for personal allowances established by the department under the family investment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222.78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9275C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441—30.3</w:t>
      </w:r>
      <w:r>
        <w:rPr>
          <w:rFonts w:ascii="Times New Roman" w:hAnsi="Times New Roman"/>
          <w:b/>
          <w:i w:val="false"/>
          <w:color w:val="000000"/>
          <w:sz w:val="22"/>
        </w:rPr>
        <w:t xml:space="preserve">(217,218) </w:t>
      </w:r>
      <w:r>
        <w:rPr>
          <w:rFonts w:ascii="Times New Roman" w:hAnsi="Times New Roman"/>
          <w:b/>
          <w:i w:val="false"/>
          <w:color w:val="000000"/>
          <w:sz w:val="22"/>
        </w:rPr>
        <w:t xml:space="preserve">Rights of individuals.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30.3(1)</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An individual receiving care from a state resource center has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 an explanation and written copy of the rules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Receive an explanation of the individual’s medical condition, developmental status, and behavioral status, and be informed of treatment plans and the attendant risks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30.3(2)</w:t>
      </w:r>
      <w:r>
        <w:rPr>
          <w:rFonts w:ascii="Times New Roman" w:hAnsi="Times New Roman"/>
          <w:b w:val="false"/>
          <w:i w:val="false"/>
          <w:color w:val="000000"/>
          <w:sz w:val="22"/>
        </w:rPr>
        <w:t> </w:t>
      </w:r>
      <w:r>
        <w:rPr>
          <w:rFonts w:ascii="Times New Roman" w:hAnsi="Times New Roman"/>
          <w:b w:val="false"/>
          <w:i/>
          <w:color w:val="000000"/>
          <w:sz w:val="22"/>
        </w:rPr>
        <w:t xml:space="preserve">Care and treatment. </w:t>
      </w:r>
      <w:r>
        <w:rPr>
          <w:rFonts w:ascii="Times New Roman" w:hAnsi="Times New Roman"/>
          <w:b w:val="false"/>
          <w:i w:val="false"/>
          <w:color w:val="000000"/>
          <w:sz w:val="22"/>
        </w:rPr>
        <w:t>An individual receiving care from a state resource center has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 appropriate treatment, services, and habilitation for the individual’s disabilities, including appropriate and sufficient medical and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the confidentiality of the individual’s personal resource center records maintained and have access to those records within a reasonable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when available and desired and as appropriate to the individual’s plan of treatment, and be compensated for that work in accordance with federal and state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30.3(3)</w:t>
      </w:r>
      <w:r>
        <w:rPr>
          <w:rFonts w:ascii="Times New Roman" w:hAnsi="Times New Roman"/>
          <w:b w:val="false"/>
          <w:i w:val="false"/>
          <w:color w:val="000000"/>
          <w:sz w:val="22"/>
        </w:rPr>
        <w:t> </w:t>
      </w:r>
      <w:r>
        <w:rPr>
          <w:rFonts w:ascii="Times New Roman" w:hAnsi="Times New Roman"/>
          <w:b w:val="false"/>
          <w:i/>
          <w:color w:val="000000"/>
          <w:sz w:val="22"/>
        </w:rPr>
        <w:t xml:space="preserve">Living conditions. </w:t>
      </w:r>
      <w:r>
        <w:rPr>
          <w:rFonts w:ascii="Times New Roman" w:hAnsi="Times New Roman"/>
          <w:b w:val="false"/>
          <w:i w:val="false"/>
          <w:color w:val="000000"/>
          <w:sz w:val="22"/>
        </w:rPr>
        <w:t>An individual receiving care from a state resource center has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 care in a manner that respects and maintains the individual’s dignity and individuality.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opportunities for personal privacy, including during the care of personal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Keep and use appropriate personal possessions, including wearing the individual’s own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Share a room with a spouse when both live in the same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free from unnecessary drugs and restraints.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free from physical, psychological, sexual, or verbal abuse; neglect; and exploitation.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30.3(4)</w:t>
      </w:r>
      <w:r>
        <w:rPr>
          <w:rFonts w:ascii="Times New Roman" w:hAnsi="Times New Roman"/>
          <w:b w:val="false"/>
          <w:i w:val="false"/>
          <w:color w:val="000000"/>
          <w:sz w:val="22"/>
        </w:rPr>
        <w:t> </w:t>
      </w:r>
      <w:r>
        <w:rPr>
          <w:rFonts w:ascii="Times New Roman" w:hAnsi="Times New Roman"/>
          <w:b w:val="false"/>
          <w:i/>
          <w:color w:val="000000"/>
          <w:sz w:val="22"/>
        </w:rPr>
        <w:t xml:space="preserve">Communication. </w:t>
      </w:r>
      <w:r>
        <w:rPr>
          <w:rFonts w:ascii="Times New Roman" w:hAnsi="Times New Roman"/>
          <w:b w:val="false"/>
          <w:i w:val="false"/>
          <w:color w:val="000000"/>
          <w:sz w:val="22"/>
        </w:rPr>
        <w:t>An individual receiving care from a state resource center has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Communicate with people and access services at the facility and in the community, including organizing and participating in resident groups while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Receive visits of the individual’s choice from parents, guardians, legal representatives, or family without prior notice given to the facility unless the visits have been determined inappropriate by the individual’s treatment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Communicate and meet privately with persons of the individual’s choice without prior notice given to the facility unless the communication is determined inappropriate by the individual’s treatment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Send and receive unopened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and receive private telephone calls unless the calls have been determined inappropriate by the individual’s treatment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w:t>
      </w:r>
      <w:r>
        <w:rPr>
          <w:rFonts w:ascii="Times New Roman" w:hAnsi="Times New Roman"/>
          <w:b w:val="false"/>
          <w:i w:val="false"/>
          <w:color w:val="000000"/>
          <w:sz w:val="22"/>
        </w:rPr>
        <w:t> </w:t>
      </w:r>
      <w:r>
        <w:rPr>
          <w:rFonts w:ascii="Times New Roman" w:hAnsi="Times New Roman"/>
          <w:b w:val="false"/>
          <w:i/>
          <w:color w:val="000000"/>
          <w:sz w:val="22"/>
        </w:rPr>
        <w:t xml:space="preserve">Self-determination. </w:t>
      </w:r>
      <w:r>
        <w:rPr>
          <w:rFonts w:ascii="Times New Roman" w:hAnsi="Times New Roman"/>
          <w:b w:val="false"/>
          <w:i w:val="false"/>
          <w:color w:val="000000"/>
          <w:sz w:val="22"/>
        </w:rPr>
        <w:t>An individual receiving care from a state resource center has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Have a dignified existence with self-determination, making choices about aspects of the individual’s life that are significant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Give informed consent, including the right to withdraw consent at any given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Refuse treatment (such as medication or behavioral interventions) offered without the individual’s expressed informed consent and be provided with an explanation of the consequences of those refusals unless treatment is necessary to protect the health or safety of the individual or is ordered by a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Refuse to perform services for the facility and not be coerced to perform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Manage the individual’s own financial affairs unless doing so is limited under law or determined not appropriate by the individual’s treatment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Choose activities, schedules, and care consistent with the individual’s interests, needs and care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Engage in social, religious, and community activities of the individual’s choice.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30.3(6)</w:t>
      </w:r>
      <w:r>
        <w:rPr>
          <w:rFonts w:ascii="Times New Roman" w:hAnsi="Times New Roman"/>
          <w:b w:val="false"/>
          <w:i w:val="false"/>
          <w:color w:val="000000"/>
          <w:sz w:val="22"/>
        </w:rPr>
        <w:t> </w:t>
      </w:r>
      <w:r>
        <w:rPr>
          <w:rFonts w:ascii="Times New Roman" w:hAnsi="Times New Roman"/>
          <w:b w:val="false"/>
          <w:i/>
          <w:color w:val="000000"/>
          <w:sz w:val="22"/>
        </w:rPr>
        <w:t xml:space="preserve">Advocacy. </w:t>
      </w:r>
      <w:r>
        <w:rPr>
          <w:rFonts w:ascii="Times New Roman" w:hAnsi="Times New Roman"/>
          <w:b w:val="false"/>
          <w:i w:val="false"/>
          <w:color w:val="000000"/>
          <w:sz w:val="22"/>
        </w:rPr>
        <w:t>An individual receiving care from a state resource center has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Exercise the individual’s rights as a citizen or resident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grievance pursuant to rule </w:t>
      </w:r>
      <w:hyperlink r:id="rId9">
        <w:r>
          <w:rPr>
            <w:rStyle w:val="Hyperlink"/>
            <w:rFonts w:ascii="Times New Roman" w:hAnsi="Times New Roman"/>
            <w:b w:val="false"/>
            <w:i w:val="false"/>
            <w:color w:val="000000"/>
            <w:sz w:val="22"/>
          </w:rPr>
          <w:t>441—28.3</w:t>
        </w:r>
      </w:hyperlink>
      <w:r>
        <w:rPr>
          <w:rFonts w:ascii="Times New Roman" w:hAnsi="Times New Roman"/>
          <w:b w:val="false"/>
          <w:i w:val="false"/>
          <w:color w:val="000000"/>
          <w:sz w:val="22"/>
        </w:rPr>
        <w:t>(229) without any intimidation or reprisal resulting from the grievance.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9275C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441—30.4</w:t>
      </w:r>
      <w:r>
        <w:rPr>
          <w:rFonts w:ascii="Times New Roman" w:hAnsi="Times New Roman"/>
          <w:b/>
          <w:i w:val="false"/>
          <w:color w:val="000000"/>
          <w:sz w:val="22"/>
        </w:rPr>
        <w:t xml:space="preserve">(218) </w:t>
      </w:r>
      <w:r>
        <w:rPr>
          <w:rFonts w:ascii="Times New Roman" w:hAnsi="Times New Roman"/>
          <w:b/>
          <w:i w:val="false"/>
          <w:color w:val="000000"/>
          <w:sz w:val="22"/>
        </w:rPr>
        <w:t xml:space="preserve">Visiting.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w:t>
      </w:r>
      <w:r>
        <w:rPr>
          <w:rFonts w:ascii="Times New Roman" w:hAnsi="Times New Roman"/>
          <w:b w:val="false"/>
          <w:i w:val="false"/>
          <w:color w:val="000000"/>
          <w:sz w:val="22"/>
        </w:rPr>
        <w:t> </w:t>
      </w:r>
      <w:r>
        <w:rPr>
          <w:rFonts w:ascii="Times New Roman" w:hAnsi="Times New Roman"/>
          <w:b w:val="false"/>
          <w:i w:val="false"/>
          <w:color w:val="000000"/>
          <w:sz w:val="22"/>
        </w:rPr>
        <w:t>Individuals are encouraged to and will be able to receive visits from persons of the individual’s choice and at times desired by the individual. At the individual’s choice, the individual’s parents, guardian, or legal representative or other members of the individual’s family may visit without prior notice given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w:t>
      </w:r>
      <w:r>
        <w:rPr>
          <w:rFonts w:ascii="Times New Roman" w:hAnsi="Times New Roman"/>
          <w:b w:val="false"/>
          <w:i w:val="false"/>
          <w:color w:val="000000"/>
          <w:sz w:val="22"/>
        </w:rPr>
        <w:t> </w:t>
      </w:r>
      <w:r>
        <w:rPr>
          <w:rFonts w:ascii="Times New Roman" w:hAnsi="Times New Roman"/>
          <w:b w:val="false"/>
          <w:i w:val="false"/>
          <w:color w:val="000000"/>
          <w:sz w:val="22"/>
        </w:rPr>
        <w:t>Visits determined to be inappropriate or disruptive to the individual’s treatment plan or the health and safety of other individuals may be denied or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w:t>
      </w:r>
      <w:r>
        <w:rPr>
          <w:rFonts w:ascii="Times New Roman" w:hAnsi="Times New Roman"/>
          <w:b w:val="false"/>
          <w:i w:val="false"/>
          <w:color w:val="000000"/>
          <w:sz w:val="22"/>
        </w:rPr>
        <w:t> </w:t>
      </w:r>
      <w:r>
        <w:rPr>
          <w:rFonts w:ascii="Times New Roman" w:hAnsi="Times New Roman"/>
          <w:b w:val="false"/>
          <w:i w:val="false"/>
          <w:color w:val="000000"/>
          <w:sz w:val="22"/>
        </w:rPr>
        <w:t>An individual or other person denied visitation may file a grievance through the facility’s grievance process.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2">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9275C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9/29/76, Notice 8/23/76—published 10/20/76, effective 11/24/76]</w:t>
      </w:r>
    </w:p>
    <w:p>
      <w:pPr>
        <w:spacing w:before="0" w:after="0"/>
        <w:ind w:left="120"/>
        <w:jc w:val="center"/>
      </w:pPr>
      <w:r>
        <w:rPr>
          <w:rFonts w:ascii="Times New Roman" w:hAnsi="Times New Roman"/>
          <w:b w:val="false"/>
          <w:i w:val="false"/>
          <w:color w:val="000000"/>
          <w:sz w:val="21"/>
        </w:rPr>
        <w:t>[Filed 9/12/78, Notice 7/26/78—published 10/4/78, effective 12/1/78]</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8/11/99, Notice 6/16/99—published 9/8/99, effective 11/1/99]</w:t>
      </w:r>
    </w:p>
    <w:p>
      <w:pPr>
        <w:spacing w:before="0" w:after="0"/>
        <w:ind w:left="120"/>
        <w:jc w:val="center"/>
      </w:pPr>
      <w:r>
        <w:rPr>
          <w:rFonts w:ascii="Times New Roman" w:hAnsi="Times New Roman"/>
          <w:b w:val="false"/>
          <w:i w:val="false"/>
          <w:color w:val="000000"/>
          <w:sz w:val="21"/>
        </w:rPr>
        <w:t>[Filed 7/15/05, Notice 5/11/05—published 8/3/05, effective 10/1/05]</w:t>
      </w:r>
    </w:p>
    <w:p>
      <w:pPr>
        <w:spacing w:before="0" w:after="0"/>
        <w:ind w:left="120"/>
        <w:jc w:val="center"/>
      </w:pPr>
      <w:r>
        <w:rPr>
          <w:rFonts w:ascii="Times New Roman" w:hAnsi="Times New Roman"/>
          <w:b w:val="false"/>
          <w:i w:val="false"/>
          <w:color w:val="000000"/>
          <w:sz w:val="21"/>
        </w:rPr>
        <w:t>[Filed ARC 8094B</w:t>
      </w:r>
      <w:r>
        <w:rPr>
          <w:rFonts w:ascii="Times New Roman" w:hAnsi="Times New Roman"/>
          <w:b w:val="false"/>
          <w:i w:val="false"/>
          <w:color w:val="000000"/>
          <w:sz w:val="21"/>
        </w:rPr>
        <w:t xml:space="preserve"> (Notice ARC 7717B, IAB 4/22/09)</w:t>
      </w:r>
      <w:r>
        <w:rPr>
          <w:rFonts w:ascii="Times New Roman" w:hAnsi="Times New Roman"/>
          <w:b w:val="false"/>
          <w:i w:val="false"/>
          <w:color w:val="000000"/>
          <w:sz w:val="21"/>
        </w:rPr>
        <w:t>, IAB 9/9/09, effective 11/1/09]</w:t>
      </w:r>
    </w:p>
    <w:p>
      <w:pPr>
        <w:spacing w:before="0" w:after="0"/>
        <w:ind w:left="120"/>
        <w:jc w:val="center"/>
      </w:pPr>
      <w:r>
        <w:rPr>
          <w:rFonts w:ascii="Times New Roman" w:hAnsi="Times New Roman"/>
          <w:b w:val="false"/>
          <w:i w:val="false"/>
          <w:color w:val="000000"/>
          <w:sz w:val="21"/>
        </w:rPr>
        <w:t>[Filed ARC 1145C</w:t>
      </w:r>
      <w:r>
        <w:rPr>
          <w:rFonts w:ascii="Times New Roman" w:hAnsi="Times New Roman"/>
          <w:b w:val="false"/>
          <w:i w:val="false"/>
          <w:color w:val="000000"/>
          <w:sz w:val="21"/>
        </w:rPr>
        <w:t xml:space="preserve"> (Notice ARC 0921C,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6274C</w:t>
      </w:r>
      <w:r>
        <w:rPr>
          <w:rFonts w:ascii="Times New Roman" w:hAnsi="Times New Roman"/>
          <w:b w:val="false"/>
          <w:i w:val="false"/>
          <w:color w:val="000000"/>
          <w:sz w:val="21"/>
        </w:rPr>
        <w:t xml:space="preserve"> (Notice ARC 6152C, IAB 1/26/22)</w:t>
      </w:r>
      <w:r>
        <w:rPr>
          <w:rFonts w:ascii="Times New Roman" w:hAnsi="Times New Roman"/>
          <w:b w:val="false"/>
          <w:i w:val="false"/>
          <w:color w:val="000000"/>
          <w:sz w:val="21"/>
        </w:rPr>
        <w:t>, IAB 4/6/22, effective 6/1/22]</w:t>
      </w:r>
    </w:p>
    <w:p>
      <w:pPr>
        <w:spacing w:before="0" w:after="0"/>
        <w:ind w:left="120"/>
        <w:jc w:val="center"/>
      </w:pPr>
      <w:r>
        <w:rPr>
          <w:rFonts w:ascii="Times New Roman" w:hAnsi="Times New Roman"/>
          <w:b w:val="false"/>
          <w:i w:val="false"/>
          <w:color w:val="000000"/>
          <w:sz w:val="21"/>
        </w:rPr>
        <w:t>[Filed ARC 9275C</w:t>
      </w:r>
      <w:r>
        <w:rPr>
          <w:rFonts w:ascii="Times New Roman" w:hAnsi="Times New Roman"/>
          <w:b w:val="false"/>
          <w:i w:val="false"/>
          <w:color w:val="000000"/>
          <w:sz w:val="21"/>
        </w:rPr>
        <w:t xml:space="preserve"> (Notice ARC 9005C, IAB 3/19/25)</w:t>
      </w:r>
      <w:r>
        <w:rPr>
          <w:rFonts w:ascii="Times New Roman" w:hAnsi="Times New Roman"/>
          <w:b w:val="false"/>
          <w:i w:val="false"/>
          <w:color w:val="000000"/>
          <w:sz w:val="21"/>
        </w:rPr>
        <w:t>, IAB 5/14/25,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2.13.pdf" Type="http://schemas.openxmlformats.org/officeDocument/2006/relationships/hyperlink" Id="rId5"/>
    <Relationship TargetMode="External" Target="https://www.legis.iowa.gov/docs/ico/chapter/222.13A.pdf" Type="http://schemas.openxmlformats.org/officeDocument/2006/relationships/hyperlink" Id="rId6"/>
    <Relationship TargetMode="External" Target="https://www.legis.iowa.gov/docs/iac/rule/441.156.2.pdf" Type="http://schemas.openxmlformats.org/officeDocument/2006/relationships/hyperlink" Id="rId7"/>
    <Relationship TargetMode="External" Target="https://www.legis.iowa.gov/docs/ico/chapter/222.78.pdf" Type="http://schemas.openxmlformats.org/officeDocument/2006/relationships/hyperlink" Id="rId8"/>
    <Relationship TargetMode="External" Target="https://www.legis.iowa.gov/docs/iac/rule/441.28.3.pdf" Type="http://schemas.openxmlformats.org/officeDocument/2006/relationships/hyperlink" Id="rId9"/>
    <Relationship TargetMode="External" Target="https://www.legis.iowa.gov/docs/ico/chapter/217.30.pdf" Type="http://schemas.openxmlformats.org/officeDocument/2006/relationships/hyperlink" Id="rId10"/>
    <Relationship TargetMode="External" Target="https://www.legis.iowa.gov/docs/ico/chapter/218.4.pdf" Type="http://schemas.openxmlformats.org/officeDocument/2006/relationships/hyperlink" Id="rId11"/>
    <Relationship TargetMode="External" Target="https://www.legis.iowa.gov/docs/ico/chapter/218.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