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MENTAL HEALTH INSTITUTES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441—29.1</w:t>
      </w:r>
      <w:r>
        <w:rPr>
          <w:rFonts w:ascii="Times New Roman" w:hAnsi="Times New Roman"/>
          <w:b/>
          <w:i w:val="false"/>
          <w:color w:val="000000"/>
          <w:sz w:val="22"/>
        </w:rPr>
        <w:t xml:space="preserve">(218,229) </w:t>
      </w:r>
      <w:r>
        <w:rPr>
          <w:rFonts w:ascii="Times New Roman" w:hAnsi="Times New Roman"/>
          <w:b/>
          <w:i w:val="false"/>
          <w:color w:val="000000"/>
          <w:sz w:val="22"/>
        </w:rPr>
        <w:t xml:space="preserve">Voluntary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Any individual who has symptoms of mental illness may apply for voluntary inpatient treatment or voluntary outpatient or day treatment using an application for voluntary admission to a mental health institute from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A parent, guardian, or legal representative of a minor individual may make application for the individual’s voluntary admission directly to the mental health institute using an application for voluntary admission to a mental health institute form. When a minor objects to the admission and the chief medical officer of the mental health institute determines that the admission is appropriate, the parent, guardian, or custodian must petition the juvenile court for approval of admission before the minor will be admitted.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441—29.2</w:t>
      </w:r>
      <w:r>
        <w:rPr>
          <w:rFonts w:ascii="Times New Roman" w:hAnsi="Times New Roman"/>
          <w:b/>
          <w:i w:val="false"/>
          <w:color w:val="000000"/>
          <w:sz w:val="22"/>
        </w:rPr>
        <w:t xml:space="preserve">(229) </w:t>
      </w:r>
      <w:r>
        <w:rPr>
          <w:rFonts w:ascii="Times New Roman" w:hAnsi="Times New Roman"/>
          <w:b/>
          <w:i w:val="false"/>
          <w:color w:val="000000"/>
          <w:sz w:val="22"/>
        </w:rPr>
        <w:t xml:space="preserve">Authorization for treatment. </w:t>
      </w:r>
      <w:r>
        <w:rPr>
          <w:rFonts w:ascii="Times New Roman" w:hAnsi="Times New Roman"/>
          <w:b w:val="false"/>
          <w:i w:val="false"/>
          <w:color w:val="000000"/>
          <w:sz w:val="22"/>
        </w:rPr>
        <w:t>No individual receiving services, either on a voluntary or involuntary basis, will be provided treatment other than what is necessary to preserve life or protect others from physical injury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has given consent by signing a mental health institute agreement and consent to treatment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court has ordered treatment;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individual’s parent, guardian, or legal representative has given consent by signing a mental health institute agreement and consent to treatment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441—29.3</w:t>
      </w:r>
      <w:r>
        <w:rPr>
          <w:rFonts w:ascii="Times New Roman" w:hAnsi="Times New Roman"/>
          <w:b/>
          <w:i w:val="false"/>
          <w:color w:val="000000"/>
          <w:sz w:val="22"/>
        </w:rPr>
        <w:t xml:space="preserve">(217,228,229) </w:t>
      </w:r>
      <w:r>
        <w:rPr>
          <w:rFonts w:ascii="Times New Roman" w:hAnsi="Times New Roman"/>
          <w:b/>
          <w:i w:val="false"/>
          <w:color w:val="000000"/>
          <w:sz w:val="22"/>
        </w:rPr>
        <w:t xml:space="preserve">Rights of individuals. </w:t>
      </w:r>
      <w:r>
        <w:rPr>
          <w:rFonts w:ascii="Times New Roman" w:hAnsi="Times New Roman"/>
          <w:b w:val="false"/>
          <w:i w:val="false"/>
          <w:color w:val="000000"/>
          <w:sz w:val="22"/>
        </w:rPr>
        <w:t>An individual receiving care from a state mental health institute will have the following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An individual receiving care from a state mental health institute will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and written copy of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provided information on the provisions of law pertaining to admission to and discharge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an explanation of the individual’s medical condition and be informed of treatment plans and the attendant risks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provided with complete and current information concerning the individual’s diagnosis, treatment, and progress in terms and language understandable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the information required in this subrule made available to the individual’s parent, guardian, or legal representative when it is not feasible to give the information directly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Care and treatment. </w:t>
      </w:r>
      <w:r>
        <w:rPr>
          <w:rFonts w:ascii="Times New Roman" w:hAnsi="Times New Roman"/>
          <w:b w:val="false"/>
          <w:i w:val="false"/>
          <w:color w:val="000000"/>
          <w:sz w:val="22"/>
        </w:rPr>
        <w:t>An individual receiving care from a state mental health institute will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evaluated promptly following admission and receive emergency services appropriate to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current individualized written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appropriate treatment, services, and rehabilitation for the individual’s mental illness, including appropriate and sufficient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opportunity for educational, vocational, rehabilitative, and recreational programs appropriate to the individual’s treatment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the confidentiality of the individual’s personal mental health institute records maintained and have access to those records within a reasonable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an individualized posthospitalization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Living conditions. </w:t>
      </w:r>
      <w:r>
        <w:rPr>
          <w:rFonts w:ascii="Times New Roman" w:hAnsi="Times New Roman"/>
          <w:b w:val="false"/>
          <w:i w:val="false"/>
          <w:color w:val="000000"/>
          <w:sz w:val="22"/>
        </w:rPr>
        <w:t>An individual receiving care from a state mental health institute will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Live in the least restrictive conditions necessary to achieve the purposes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care in a manner that respects and maintains the individual’s dignity and individuality.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opportunities for personal privacy, including during the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Keep and use appropriate personal possessions, including wearing the individual’s own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from unnecessary drugs, restraints, and seclusion except when necessary to protect the immediate health or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free from physical, psychological, sexual, or verbal abuse; neglect; and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An individual receiving care from a state mental health institute will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family contact or representative of the individual’s choice or the individual’s community physician notified promptly of the individual’s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Communicate with people and access services at the facility and in the community, including organizing and participating in resident groups while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visits of the individual’s choice from parents, guardians, legal representatives, or family without prior notice given to the facility unless the visits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Communicate and meet privately with persons of the individual’s choice without prior notice given to the facility unless the communication is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Send and receive unopened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Make and receive private telephone calls unless the calls have been determined inappropriate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 current informational and recreational media, such as newspapers, television, or periodicals.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29.3(5)</w:t>
      </w:r>
      <w:r>
        <w:rPr>
          <w:rFonts w:ascii="Times New Roman" w:hAnsi="Times New Roman"/>
          <w:b w:val="false"/>
          <w:i w:val="false"/>
          <w:color w:val="000000"/>
          <w:sz w:val="22"/>
        </w:rPr>
        <w:t> </w:t>
      </w:r>
      <w:r>
        <w:rPr>
          <w:rFonts w:ascii="Times New Roman" w:hAnsi="Times New Roman"/>
          <w:b w:val="false"/>
          <w:i/>
          <w:color w:val="000000"/>
          <w:sz w:val="22"/>
        </w:rPr>
        <w:t xml:space="preserve">Self-determination. </w:t>
      </w:r>
      <w:r>
        <w:rPr>
          <w:rFonts w:ascii="Times New Roman" w:hAnsi="Times New Roman"/>
          <w:b w:val="false"/>
          <w:i w:val="false"/>
          <w:color w:val="000000"/>
          <w:sz w:val="22"/>
        </w:rPr>
        <w:t>An individual receiving care from a state mental health institute will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dignified existence with self-determination, making choices about aspects of the individual’s life that are significant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the development and implementation of the individual’s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informed consent, including the right to withdraw consent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Refuse treatment (such as medication, surgery or electroconvulsive therapy) offered without the individual’s expressed informed consent and be provided with an explanation of the consequences of those refusals unless treatment is necessary to protect the health or safety of the individual or is ordered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Immediate discharge (if admitted voluntarily) by submitting a written notice to the superintendent or chief medical officer unless a written request for involuntary hospitalization is submitted to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Refuse to perform services for the facility and not be coerced to perform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Manage the individual’s own financial affairs unless doing so is limited under law or determined not appropriate by 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Choose activities, schedules, and care consistent with the individual’s interests, needs,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Engage in social, religious, and community activities of the individual’s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Formulate advanced directives and be provided care in compliance with these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29.3(6)</w:t>
      </w:r>
      <w:r>
        <w:rPr>
          <w:rFonts w:ascii="Times New Roman" w:hAnsi="Times New Roman"/>
          <w:b w:val="false"/>
          <w:i w:val="false"/>
          <w:color w:val="000000"/>
          <w:sz w:val="22"/>
        </w:rPr>
        <w:t> </w:t>
      </w:r>
      <w:r>
        <w:rPr>
          <w:rFonts w:ascii="Times New Roman" w:hAnsi="Times New Roman"/>
          <w:b w:val="false"/>
          <w:i/>
          <w:color w:val="000000"/>
          <w:sz w:val="22"/>
        </w:rPr>
        <w:t xml:space="preserve">Advocacy. </w:t>
      </w:r>
      <w:r>
        <w:rPr>
          <w:rFonts w:ascii="Times New Roman" w:hAnsi="Times New Roman"/>
          <w:b w:val="false"/>
          <w:i w:val="false"/>
          <w:color w:val="000000"/>
          <w:sz w:val="22"/>
        </w:rPr>
        <w:t>An individual receiving care from a state mental health institute will have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Exercise the individual’s rights as a citizen or resident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grievance pursuant to rule </w:t>
      </w:r>
      <w:hyperlink r:id="rId5">
        <w:r>
          <w:rPr>
            <w:rStyle w:val="Hyperlink"/>
            <w:rFonts w:ascii="Times New Roman" w:hAnsi="Times New Roman"/>
            <w:b w:val="false"/>
            <w:i w:val="false"/>
            <w:color w:val="000000"/>
            <w:sz w:val="22"/>
          </w:rPr>
          <w:t>441—28.3</w:t>
        </w:r>
      </w:hyperlink>
      <w:r>
        <w:rPr>
          <w:rFonts w:ascii="Times New Roman" w:hAnsi="Times New Roman"/>
          <w:b w:val="false"/>
          <w:i w:val="false"/>
          <w:color w:val="000000"/>
          <w:sz w:val="22"/>
        </w:rPr>
        <w:t>(229) without any intimidation or reprisal resulting from the grievance.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a judicial review of the hospitalization, file for a writ of habeas corpus, have an attorney of the individual’s choice, and communicate and meet privately with the individual’s attorney without prior notice given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441—29.4</w:t>
      </w:r>
      <w:r>
        <w:rPr>
          <w:rFonts w:ascii="Times New Roman" w:hAnsi="Times New Roman"/>
          <w:b/>
          <w:i w:val="false"/>
          <w:color w:val="000000"/>
          <w:sz w:val="22"/>
        </w:rPr>
        <w:t xml:space="preserve">(218) </w:t>
      </w:r>
      <w:r>
        <w:rPr>
          <w:rFonts w:ascii="Times New Roman" w:hAnsi="Times New Roman"/>
          <w:b/>
          <w:i w:val="false"/>
          <w:color w:val="000000"/>
          <w:sz w:val="22"/>
        </w:rPr>
        <w:t xml:space="preserve">Visiting.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val="false"/>
          <w:color w:val="000000"/>
          <w:sz w:val="22"/>
        </w:rPr>
        <w:t>Visiting hours will be posted in each facility. The physician may designate exceptions for special hours on an individual or ward basis. Therapy for the individual will take precedence over visiting. Visiting will not interfere with the individual’s treatment program or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val="false"/>
          <w:color w:val="000000"/>
          <w:sz w:val="22"/>
        </w:rPr>
        <w:t>A visit will be terminated when behavior on the part of the individual or visitor is disruptive to the individual’s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val="false"/>
          <w:color w:val="000000"/>
          <w:sz w:val="22"/>
        </w:rPr>
        <w:t>Visiting on grounds will be permitted when the individual has a grounds 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29.4(4)</w:t>
      </w:r>
      <w:r>
        <w:rPr>
          <w:rFonts w:ascii="Times New Roman" w:hAnsi="Times New Roman"/>
          <w:b w:val="false"/>
          <w:i w:val="false"/>
          <w:color w:val="000000"/>
          <w:sz w:val="22"/>
        </w:rPr>
        <w:t> </w:t>
      </w:r>
      <w:r>
        <w:rPr>
          <w:rFonts w:ascii="Times New Roman" w:hAnsi="Times New Roman"/>
          <w:b w:val="false"/>
          <w:i w:val="false"/>
          <w:color w:val="000000"/>
          <w:sz w:val="22"/>
        </w:rPr>
        <w:t>Visitors wishing to take an individual off grounds will receive prior approval from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29.4(5)</w:t>
      </w:r>
      <w:r>
        <w:rPr>
          <w:rFonts w:ascii="Times New Roman" w:hAnsi="Times New Roman"/>
          <w:b w:val="false"/>
          <w:i w:val="false"/>
          <w:color w:val="000000"/>
          <w:sz w:val="22"/>
        </w:rPr>
        <w:t> </w:t>
      </w:r>
      <w:r>
        <w:rPr>
          <w:rFonts w:ascii="Times New Roman" w:hAnsi="Times New Roman"/>
          <w:b w:val="false"/>
          <w:i w:val="false"/>
          <w:color w:val="000000"/>
          <w:sz w:val="22"/>
        </w:rPr>
        <w:t>All visitors will obtain a visitor’s pass at the switchboard or another area as designated by the superintendent and posted. The pass will be given to a ward employee before the visitor is allowed on the 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29.4(6)</w:t>
      </w:r>
      <w:r>
        <w:rPr>
          <w:rFonts w:ascii="Times New Roman" w:hAnsi="Times New Roman"/>
          <w:b w:val="false"/>
          <w:i w:val="false"/>
          <w:color w:val="000000"/>
          <w:sz w:val="22"/>
        </w:rPr>
        <w:t> </w:t>
      </w:r>
      <w:r>
        <w:rPr>
          <w:rFonts w:ascii="Times New Roman" w:hAnsi="Times New Roman"/>
          <w:b w:val="false"/>
          <w:i w:val="false"/>
          <w:color w:val="000000"/>
          <w:sz w:val="22"/>
        </w:rPr>
        <w:t>Persons under 12 years of age shall not visit on the 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9275C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8/11/99, Notice 6/16/99—published 9/8/99, effective 11/1/99]</w:t>
      </w:r>
    </w:p>
    <w:p>
      <w:pPr>
        <w:spacing w:before="0" w:after="0"/>
        <w:ind w:left="120"/>
        <w:jc w:val="center"/>
      </w:pPr>
      <w:r>
        <w:rPr>
          <w:rFonts w:ascii="Times New Roman" w:hAnsi="Times New Roman"/>
          <w:b w:val="false"/>
          <w:i w:val="false"/>
          <w:color w:val="000000"/>
          <w:sz w:val="21"/>
        </w:rPr>
        <w:t>[Filed 7/15/05, Notice 5/11/05—published 8/3/05, effective 10/1/05]</w:t>
      </w:r>
    </w:p>
    <w:p>
      <w:pPr>
        <w:spacing w:before="0" w:after="0"/>
        <w:ind w:left="120"/>
        <w:jc w:val="center"/>
      </w:pPr>
      <w:r>
        <w:rPr>
          <w:rFonts w:ascii="Times New Roman" w:hAnsi="Times New Roman"/>
          <w:b w:val="false"/>
          <w:i w:val="false"/>
          <w:color w:val="000000"/>
          <w:sz w:val="21"/>
        </w:rPr>
        <w:t>[Filed ARC 8094B</w:t>
      </w:r>
      <w:r>
        <w:rPr>
          <w:rFonts w:ascii="Times New Roman" w:hAnsi="Times New Roman"/>
          <w:b w:val="false"/>
          <w:i w:val="false"/>
          <w:color w:val="000000"/>
          <w:sz w:val="21"/>
        </w:rPr>
        <w:t xml:space="preserve"> (Notice ARC 7717B, IAB 4/22/09)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1145C</w:t>
      </w:r>
      <w:r>
        <w:rPr>
          <w:rFonts w:ascii="Times New Roman" w:hAnsi="Times New Roman"/>
          <w:b w:val="false"/>
          <w:i w:val="false"/>
          <w:color w:val="000000"/>
          <w:sz w:val="21"/>
        </w:rPr>
        <w:t xml:space="preserve"> (Notice ARC 0921C,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6273C</w:t>
      </w:r>
      <w:r>
        <w:rPr>
          <w:rFonts w:ascii="Times New Roman" w:hAnsi="Times New Roman"/>
          <w:b w:val="false"/>
          <w:i w:val="false"/>
          <w:color w:val="000000"/>
          <w:sz w:val="21"/>
        </w:rPr>
        <w:t xml:space="preserve"> (Notice ARC 6157C, IAB 1/26/22)</w:t>
      </w:r>
      <w:r>
        <w:rPr>
          <w:rFonts w:ascii="Times New Roman" w:hAnsi="Times New Roman"/>
          <w:b w:val="false"/>
          <w:i w:val="false"/>
          <w:color w:val="000000"/>
          <w:sz w:val="21"/>
        </w:rPr>
        <w:t>, IAB 4/6/22, effective 6/1/22]</w:t>
      </w:r>
    </w:p>
    <w:p>
      <w:pPr>
        <w:spacing w:before="0" w:after="0"/>
        <w:ind w:left="120"/>
        <w:jc w:val="center"/>
      </w:pPr>
      <w:r>
        <w:rPr>
          <w:rFonts w:ascii="Times New Roman" w:hAnsi="Times New Roman"/>
          <w:b w:val="false"/>
          <w:i w:val="false"/>
          <w:color w:val="000000"/>
          <w:sz w:val="21"/>
        </w:rPr>
        <w:t>[Filed ARC 9275C</w:t>
      </w:r>
      <w:r>
        <w:rPr>
          <w:rFonts w:ascii="Times New Roman" w:hAnsi="Times New Roman"/>
          <w:b w:val="false"/>
          <w:i w:val="false"/>
          <w:color w:val="000000"/>
          <w:sz w:val="21"/>
        </w:rPr>
        <w:t xml:space="preserve"> (Notice ARC 9005C,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28.3.pdf" Type="http://schemas.openxmlformats.org/officeDocument/2006/relationships/hyperlink" Id="rId5"/>
    <Relationship TargetMode="External" Target="https://www.legis.iowa.gov/docs/ico/chapter/217.pdf" Type="http://schemas.openxmlformats.org/officeDocument/2006/relationships/hyperlink" Id="rId6"/>
    <Relationship TargetMode="External" Target="https://www.legis.iowa.gov/docs/ico/chapter/218.pdf" Type="http://schemas.openxmlformats.org/officeDocument/2006/relationships/hyperlink" Id="rId7"/>
    <Relationship TargetMode="External" Target="https://www.legis.iowa.gov/docs/ico/chapter/228.pdf" Type="http://schemas.openxmlformats.org/officeDocument/2006/relationships/hyperlink" Id="rId8"/>
    <Relationship TargetMode="External" Target="https://www.legis.iowa.gov/docs/ico/chapter/229.pdf" Type="http://schemas.openxmlformats.org/officeDocument/2006/relationships/hyperlink" Id="rId9"/>
    <Relationship TargetMode="External" Target="https://www.legis.iowa.gov/docs/ico/chapter/23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