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ACCREDITATION OF PROVIDERS OF SERVICES TO PERSONS WITH MENTAL ILLNESS, INTELLECTUAL DISABILITIES, OR DEVELOPMENTAL DISABILITIES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The mental health and disability services commission has adopted this set of standards to be met by all providers of services to people with mental illness, intellectual disabilities, or developmental disabilities. These standards apply to providers that are not required to be licensed by the department of inspections and appeals. These providers include community mental health centers, mental health services providers, case management providers, supported community living providers, and crisis response providers in accordance with Iowa Code chapter </w:t>
      </w:r>
      <w:hyperlink r:id="rId5">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 standards serve as the foundation of a performance-based review of those organizations for which the department holds accreditation responsibility, as set forth in Iowa Code chapters </w:t>
      </w:r>
      <w:hyperlink r:id="rId6">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230A</w:t>
        </w:r>
      </w:hyperlink>
      <w:r>
        <w:rPr>
          <w:rFonts w:ascii="Times New Roman" w:hAnsi="Times New Roman"/>
          <w:b w:val="false"/>
          <w:i w:val="false"/>
          <w:color w:val="000000"/>
          <w:sz w:val="22"/>
        </w:rPr>
        <w:t>. The mission of accreditation is to assure individuals using the services and the general public of organizational accountability for meeting best practices performance levels, for efficient and effective management, and for the provision of quality services that result in quality outcomes for individuals using the services.</w:t>
      </w:r>
    </w:p>
    <w:p>
      <w:pPr>
        <w:spacing w:before="0" w:after="0"/>
        <w:ind w:left="120"/>
        <w:jc w:val="left"/>
      </w:pPr>
      <w:r>
        <w:rPr>
          <w:rFonts w:ascii="Times New Roman" w:hAnsi="Times New Roman"/>
          <w:b w:val="false"/>
          <w:i w:val="false"/>
          <w:color w:val="000000"/>
          <w:sz w:val="22"/>
        </w:rPr>
        <w:t>The department’s intent is to establish standards that are based on the principles of quality improvement and are designed to facilitate the provision of excellent quality services that lead to positive outcomes. The intent of these standards is to make organizations providing services responsible for effecting efficient and effective management and operational systems that enhance the involvement of individuals using the services and to establish a best practices level of performance by which to measure provider organizations.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SERVICES FOR INDIVIDUALS WITH DISABILITIES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set of standards in this division has been established to be met by all providers of case management, day treatment, intensive psychiatric rehabilitation, supported community living, partial hospitalization, outpatient counseling and emergency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means the decision made by the division that the organization has met the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 nurse who has current licensure as a registered nurse in Iowa, or licensure in another state that is recognized in Iowa pursuant to Iowa Code chapter </w:t>
      </w:r>
      <w:hyperlink r:id="rId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who is also registered as certified in psychiatric mental health specialties pursuant to board of nursing rules in </w:t>
      </w:r>
      <w:hyperlink r:id="rId9">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board” </w:t>
      </w:r>
      <w:r>
        <w:rPr>
          <w:rFonts w:ascii="Times New Roman" w:hAnsi="Times New Roman"/>
          <w:b w:val="false"/>
          <w:i w:val="false"/>
          <w:color w:val="000000"/>
          <w:sz w:val="22"/>
        </w:rPr>
        <w:t>means the board that reviews and makes recommendations to the organization on the program being accredited. The advisory board shall meet at least three times a year and shall have at least three members, at least 51 percent of whom are not providers. The advisory board shall include representatives who have disabilities or family members of persons with disabilities. The advisory board’s duties include review and recommendation of policies, development and review of the organizational plan for the program being accredited, review and recommendation of the budget for the program being accredited, and review and recommendation of the performance improvement program of the program being accredited.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“Anticipated discharge plan” </w:t>
      </w:r>
      <w:r>
        <w:rPr>
          <w:rFonts w:ascii="Times New Roman" w:hAnsi="Times New Roman"/>
          <w:b w:val="false"/>
          <w:i w:val="false"/>
          <w:color w:val="000000"/>
          <w:sz w:val="22"/>
        </w:rPr>
        <w:t>means the statement of the condition or circumstances by which the individual using the service would no longer need each of the specific services accredited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w:t>
      </w:r>
      <w:r>
        <w:rPr>
          <w:rFonts w:ascii="Times New Roman" w:hAnsi="Times New Roman"/>
          <w:b w:val="false"/>
          <w:i w:val="false"/>
          <w:color w:val="000000"/>
          <w:sz w:val="22"/>
        </w:rPr>
        <w:t>means the degree to which the services or supports or activities provided or undertaken by the organization are suitable and desirable for the needs, situation, or problems of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current functioning of the individual using the service in regard to the individual’s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the processes of an organization that lead to implementation of the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means the condition present in people aged 18 and over who have a persistent mental or emotional disorder that seriously impairs their functioning relative to such primary aspects of daily living as personal relations, living arrangements, or employment. People with chronic mental illness typically meet at least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They have undergone psychiatric treatment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They have experienced at least one episode of continuous, structured, supportive residential care other than hospitalization.</w:t>
      </w:r>
    </w:p>
    <w:p>
      <w:pPr>
        <w:spacing w:before="0" w:after="0"/>
        <w:ind w:left="120"/>
        <w:jc w:val="both"/>
      </w:pPr>
      <w:r>
        <w:rPr>
          <w:rFonts w:ascii="Times New Roman" w:hAnsi="Times New Roman"/>
          <w:b w:val="false"/>
          <w:i w:val="false"/>
          <w:color w:val="000000"/>
          <w:sz w:val="22"/>
        </w:rPr>
        <w:t>In addition, people with chronic mental illness typically meet at least two of the following criteria on a continuing or intermittent basis for at least two years: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They are unemployed, employed in a sheltered setting, or have markedly limited skills and a poor work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They require financial assistance for out-of-hospital maintenance and may be unable to procure this assistance without help.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They show severe inability to establish or maintain a personal social support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They require help in basic living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They exhibit inappropriate social behavior that results in demand for intervention by the mental health or judicial system.</w:t>
      </w:r>
    </w:p>
    <w:p>
      <w:pPr>
        <w:spacing w:before="0" w:after="0"/>
        <w:ind w:left="120"/>
        <w:jc w:val="both"/>
      </w:pPr>
      <w:r>
        <w:rPr>
          <w:rFonts w:ascii="Times New Roman" w:hAnsi="Times New Roman"/>
          <w:b w:val="false"/>
          <w:i w:val="false"/>
          <w:color w:val="000000"/>
          <w:sz w:val="22"/>
        </w:rPr>
        <w:t>In atypical instances, a person who varies from these criteria could still be considered to be a person with chronic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mental health and disability services commission (MHDS commission) as established and defined in Iowa Code section </w:t>
      </w:r>
      <w:hyperlink r:id="rId10">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natural setting where people live, learn, work, and socialize.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mental health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“CMHC” </w:t>
      </w:r>
      <w:r>
        <w:rPr>
          <w:rFonts w:ascii="Times New Roman" w:hAnsi="Times New Roman"/>
          <w:b w:val="false"/>
          <w:i w:val="false"/>
          <w:color w:val="000000"/>
          <w:sz w:val="22"/>
        </w:rPr>
        <w:t xml:space="preserve">means an organization providing mental health services that is established pursuant to Iowa Code chapters </w:t>
      </w:r>
      <w:hyperlink r:id="rId11">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230A</w:t>
        </w:r>
      </w:hyperlink>
      <w:r>
        <w:rPr>
          <w:rFonts w:ascii="Times New Roman" w:hAnsi="Times New Roman"/>
          <w:b w:val="false"/>
          <w:i w:val="false"/>
          <w:color w:val="000000"/>
          <w:sz w:val="22"/>
        </w:rPr>
        <w:t xml:space="preserve"> and accredited in accordance with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plan” </w:t>
      </w:r>
      <w:r>
        <w:rPr>
          <w:rFonts w:ascii="Times New Roman" w:hAnsi="Times New Roman"/>
          <w:b w:val="false"/>
          <w:i w:val="false"/>
          <w:color w:val="000000"/>
          <w:sz w:val="22"/>
        </w:rPr>
        <w:t>means a personalized, individualized plan developed with the individual using the service that identifies potential personal psychiatric, environmental, and medical emergencies. This plan shall also include those life situations identified as problematic and the identified strategies and natural supports developed with the individual using the service to enable the individual to self-manage, alleviate, or end the crisis. This plan shall also include how the individual can access emergency services that may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“Deemed status” </w:t>
      </w:r>
      <w:r>
        <w:rPr>
          <w:rFonts w:ascii="Times New Roman" w:hAnsi="Times New Roman"/>
          <w:b w:val="false"/>
          <w:i w:val="false"/>
          <w:color w:val="000000"/>
          <w:sz w:val="22"/>
        </w:rPr>
        <w:t>means acceptance by the division of accreditation or licensure of a program or service by another accrediting body in lieu of accreditation based on review and evaluation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 disability” </w:t>
      </w:r>
      <w:r>
        <w:rPr>
          <w:rFonts w:ascii="Times New Roman" w:hAnsi="Times New Roman"/>
          <w:b w:val="false"/>
          <w:i w:val="false"/>
          <w:color w:val="000000"/>
          <w:sz w:val="22"/>
        </w:rPr>
        <w:t>means a severe, chronic disability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attributable to a mental or physical impairment or combination of mental and physical impairments;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manifested before the age of 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likely to continue indefinitely;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substantial functional limitations in three or more of the following areas of major life activity: self-care, receptive and expressive language, learning, mobility, self-direction, capacity for independent living, and economic self-sufficiency;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Reflects the person’s need for a combination and sequence of special, interdisciplinary, or generic services, individualized supports, or other forms of assistance that are of lifelong or extended duration and are individually planned and coordinated.</w:t>
      </w:r>
    </w:p>
    <w:p>
      <w:pPr>
        <w:spacing w:before="0" w:after="0"/>
        <w:ind w:left="120"/>
        <w:jc w:val="both"/>
      </w:pPr>
      <w:r>
        <w:rPr>
          <w:rFonts w:ascii="Times New Roman" w:hAnsi="Times New Roman"/>
          <w:b w:val="false"/>
          <w:i w:val="false"/>
          <w:color w:val="000000"/>
          <w:sz w:val="22"/>
        </w:rPr>
        <w:t>A person from birth to the age of nine, inclusive, who has a substantial developmental delay or specific congenital or acquired condition may be considered to have a developmental disability without meeting three or more of the criteria described above if the person, without services and supports, has a high probability of meeting those criteria later 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means services providing therapy, habilitation, or rehabilitation activities or support services such as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mental health and disability services, community,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“Doctor of medicine or osteopathic medicine” </w:t>
      </w:r>
      <w:r>
        <w:rPr>
          <w:rFonts w:ascii="Times New Roman" w:hAnsi="Times New Roman"/>
          <w:b w:val="false"/>
          <w:i w:val="false"/>
          <w:color w:val="000000"/>
          <w:sz w:val="22"/>
        </w:rPr>
        <w:t xml:space="preserve">means a person who is licensed in the state of Iowa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as a physician and surgeon or under Iowa Code chapter </w:t>
      </w:r>
      <w:hyperlink r:id="rId14">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xml:space="preserve"> as an osteopathic physician and surgeon.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assessment” </w:t>
      </w:r>
      <w:r>
        <w:rPr>
          <w:rFonts w:ascii="Times New Roman" w:hAnsi="Times New Roman"/>
          <w:b w:val="false"/>
          <w:i w:val="false"/>
          <w:color w:val="000000"/>
          <w:sz w:val="22"/>
        </w:rPr>
        <w:t>means the analysis of daily living skills. The functional assessment also takes into consideration the strengths, stated needs, and level and kind of disability of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“Goal achieving” </w:t>
      </w:r>
      <w:r>
        <w:rPr>
          <w:rFonts w:ascii="Times New Roman" w:hAnsi="Times New Roman"/>
          <w:b w:val="false"/>
          <w:i w:val="false"/>
          <w:color w:val="000000"/>
          <w:sz w:val="22"/>
        </w:rPr>
        <w:t>means to gain the required skills and supports to obtain the goal of choice. For purposes of this chapter, the definition and explanation are taken from the Psychiatric Rehabilitation Practitioner Tools, as developed by the Boston Center for Psychiatric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“Goal keeping” </w:t>
      </w:r>
      <w:r>
        <w:rPr>
          <w:rFonts w:ascii="Times New Roman" w:hAnsi="Times New Roman"/>
          <w:b w:val="false"/>
          <w:i w:val="false"/>
          <w:color w:val="000000"/>
          <w:sz w:val="22"/>
        </w:rPr>
        <w:t>means assisting the individual using the service in maintaining successful and satisfying role performance to prevent the emergence of symptoms associated with role deterioration. For purposes of this chapter, the definition and explanation are taken from the Psychiatric Rehabilitation Practitioner Tools, as developed by the Boston Center for Psychiatric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for the purposes of this chapter, means an occurrence involving the individual using the service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individual that requires a physician’s treatment or admission to a hospital,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someone’s death,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individual,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Results from any prescription medication error,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Is reportable to protective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means conditions that will exist when the activity is done competently and benchmarks are achieved. Indicators also provide a means to assess the activity’s effect on outcomes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refers to time-limited, voluntary consent. The individual using the service or the individual’s legal guardian may withdraw consent at any time without risk of punitive action. “Informed consent” includes a description of the treatment and specific procedures to be followed, the intended outcome or anticipated benefits, the rationale for use, the risks of use and nonuse, and the less restrictive alternatives considered. The individual using the service or the legal guardian has the opportunity to ask questions and have them satisfactorily answered.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means a diagnosis of intellectual disability (intellectual developmental disorder), global developmental delay, or unspecified intellectual disability (intellectual developmental disorder) under these rules which shall be made only when the onset of the person’s condition was during the developmental period and shall be based on an assessment of the person’s intellectual functioning and level of adaptive skills. A licensed psychologist or psychiatrist who is professionally trained to administer the tests required to assess intellectual functioning and to evaluate a person’s adaptive skills shall make the diagnosis. A diagnosis of intellectual disability shall be made in accordance with the criteria provided in the current version of the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psychiatric rehabilitation practitioner” </w:t>
      </w:r>
      <w:r>
        <w:rPr>
          <w:rFonts w:ascii="Times New Roman" w:hAnsi="Times New Roman"/>
          <w:b w:val="false"/>
          <w:i w:val="false"/>
          <w:color w:val="000000"/>
          <w:sz w:val="22"/>
        </w:rPr>
        <w:t>means a person who has at least 60 contact hours of training in intensive psychiatric rehabilitation and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certified as a psychiatric rehabilitation practitioner by the United States Psychiatric Rehabilitation Association;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bachelor’s degree with 30 semester hours or equivalent quarter hours in a human services field (including, but not limited to, psychology, social work, mental health counseling, marriage and family therapy, nursing, education, occupational therapy, and recreational therapy) and has at least one year of experience in the delivery of services to the population groups that the person is hired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w:t>
      </w:r>
      <w:r>
        <w:rPr>
          <w:rFonts w:ascii="Times New Roman" w:hAnsi="Times New Roman"/>
          <w:b w:val="false"/>
          <w:i w:val="false"/>
          <w:color w:val="000000"/>
          <w:sz w:val="22"/>
        </w:rPr>
        <w:t>means the governing board, the chief administrative officer or executive director, managers, supervisors, and clinical leaders who participate in developing and implementing organizational policies, plans and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“Marital and family therapist” </w:t>
      </w:r>
      <w:r>
        <w:rPr>
          <w:rFonts w:ascii="Times New Roman" w:hAnsi="Times New Roman"/>
          <w:b w:val="false"/>
          <w:i w:val="false"/>
          <w:color w:val="000000"/>
          <w:sz w:val="22"/>
        </w:rPr>
        <w:t xml:space="preserve">means a person who is licensed under Iowa Code chapter </w:t>
      </w:r>
      <w:hyperlink r:id="rId15">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in the application of counseling techniques in the assessment and resolution of emotional conditions. This includes the alteration and establishment of attitudes and patterns of interaction relative to marriage, family life, and interpersonal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 </w:t>
      </w:r>
      <w:r>
        <w:rPr>
          <w:rFonts w:ascii="Times New Roman" w:hAnsi="Times New Roman"/>
          <w:b w:val="false"/>
          <w:i w:val="false"/>
          <w:color w:val="000000"/>
          <w:sz w:val="22"/>
        </w:rPr>
        <w:t xml:space="preserve">means a person who is licensed under Iowa Code chapter </w:t>
      </w:r>
      <w:hyperlink r:id="rId1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in counseling services involving assessment, referral, consultation, and the application of counseling, human development principles, learning theory, group dynamics, and the etiology of maladjustment and dysfunctional behavior to individuals, families, and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service provider” </w:t>
      </w:r>
      <w:r>
        <w:rPr>
          <w:rFonts w:ascii="Times New Roman" w:hAnsi="Times New Roman"/>
          <w:b w:val="false"/>
          <w:i w:val="false"/>
          <w:color w:val="000000"/>
          <w:sz w:val="22"/>
        </w:rPr>
        <w:t>means an organization whose services are established to specifically address mental health services to individuals or the administration of facilities in which these services are provided. Organizations included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Those contracting with a county board of supervisors to provide mental health services in lieu of that county’s affiliation with a community mental health center (Iowa Code chapter </w:t>
      </w:r>
      <w:hyperlink r:id="rId17">
        <w:r>
          <w:rPr>
            <w:rStyle w:val="Hyperlink"/>
            <w:rFonts w:ascii="Times New Roman" w:hAnsi="Times New Roman"/>
            <w:b w:val="false"/>
            <w:i w:val="false"/>
            <w:color w:val="000000"/>
            <w:sz w:val="22"/>
          </w:rPr>
          <w:t>230A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Those that may contract with a county board of supervisors for special services to the general public or special segments of the general public and that are not accredited by any other accrediting body.</w:t>
      </w:r>
    </w:p>
    <w:p>
      <w:pPr>
        <w:spacing w:before="0" w:after="0"/>
        <w:ind w:left="120"/>
        <w:jc w:val="both"/>
      </w:pPr>
      <w:r>
        <w:rPr>
          <w:rFonts w:ascii="Times New Roman" w:hAnsi="Times New Roman"/>
          <w:b w:val="false"/>
          <w:i w:val="false"/>
          <w:color w:val="000000"/>
          <w:sz w:val="22"/>
        </w:rPr>
        <w:t>These standards do not apply to individual practitioners or partnerships of practitioners covered under Iowa’s professional licensure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supports” </w:t>
      </w:r>
      <w:r>
        <w:rPr>
          <w:rFonts w:ascii="Times New Roman" w:hAnsi="Times New Roman"/>
          <w:b w:val="false"/>
          <w:i w:val="false"/>
          <w:color w:val="000000"/>
          <w:sz w:val="22"/>
        </w:rPr>
        <w:t>means those services and supports an individual using the service identifies as wanted or needed that are provided at no cost by family, friends, neighbors, and others in the community, or by organizations or entities that serve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organization” </w:t>
      </w:r>
      <w:r>
        <w:rPr>
          <w:rFonts w:ascii="Times New Roman" w:hAnsi="Times New Roman"/>
          <w:b w:val="false"/>
          <w:i w:val="false"/>
          <w:color w:val="000000"/>
          <w:sz w:val="22"/>
        </w:rPr>
        <w:t xml:space="preserve">means an entity that has never been accredited under </w:t>
      </w:r>
      <w:hyperlink r:id="rId18">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or an accredited entity under </w:t>
      </w:r>
      <w:hyperlink r:id="rId1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that makes a significant change in its ownership, structure, management, or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governmental entity or an entity that meets Iowa Code requirements for a business organization as a for-profit or not-for-profit business. These entities include, but are not limited to, a business corporation under Iowa Code chapter </w:t>
      </w:r>
      <w:hyperlink r:id="rId20">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xml:space="preserve"> or a nonprofit corporation under Iowa Code chapter </w:t>
      </w:r>
      <w:hyperlink r:id="rId2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that provides a service accredited pursuant to the rules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county, consortium of counties, or the department of human services that provides or subcontracts for the provision of case management.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division or unit of a larger entity, such as a unit within a hospital or parent organization.</w:t>
      </w:r>
    </w:p>
    <w:p>
      <w:pPr>
        <w:spacing w:before="0" w:after="0"/>
        <w:ind w:left="120"/>
        <w:jc w:val="both"/>
      </w:pPr>
      <w:r>
        <w:rPr>
          <w:rFonts w:ascii="Times New Roman" w:hAnsi="Times New Roman"/>
          <w:b w:val="false"/>
          <w:i w:val="false"/>
          <w:color w:val="000000"/>
          <w:sz w:val="22"/>
        </w:rPr>
        <w:t xml:space="preserve">“Organization” does not include: an individual for whom a license to engage in a profession is required under Iowa Code section </w:t>
      </w:r>
      <w:hyperlink r:id="rId22">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any person providing a service if the person is not organized as a corporation or other business entity recognized under the Iowa Code, or an entity that provides only financial, administrative, or employment services and that does not directly provide the services accredited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“Outcome” </w:t>
      </w:r>
      <w:r>
        <w:rPr>
          <w:rFonts w:ascii="Times New Roman" w:hAnsi="Times New Roman"/>
          <w:b w:val="false"/>
          <w:i w:val="false"/>
          <w:color w:val="000000"/>
          <w:sz w:val="22"/>
        </w:rPr>
        <w:t>means the result of the performance or nonperformance of a function or process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means the principles and statements of intent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means the steps taken to implement the policies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for the population of a specified geographic area or for special target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crisis intervention plan” </w:t>
      </w:r>
      <w:r>
        <w:rPr>
          <w:rFonts w:ascii="Times New Roman" w:hAnsi="Times New Roman"/>
          <w:b w:val="false"/>
          <w:i w:val="false"/>
          <w:color w:val="000000"/>
          <w:sz w:val="22"/>
        </w:rPr>
        <w:t>means a personalized, individualized plan developed with the individual using the service that identifies potential personal psychiatric emergencies. This plan shall also include those life situations identified as problematic and the identified strategies and natural supports developed with the individual using the service to enable the individual to self-manage, alleviate, or end the crisis. This plan shall also include how the individual can access emergency services that may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nurse” </w:t>
      </w:r>
      <w:r>
        <w:rPr>
          <w:rFonts w:ascii="Times New Roman" w:hAnsi="Times New Roman"/>
          <w:b w:val="false"/>
          <w:i w:val="false"/>
          <w:color w:val="000000"/>
          <w:sz w:val="22"/>
        </w:rPr>
        <w:t xml:space="preserve">means a person who meets the requirements of a certified psychiatric nurse, is eligible for certification by the American Nursing Association, and is licensed by the state of Iowa to practice nursing as defined in Iowa Code chapter </w:t>
      </w:r>
      <w:hyperlink r:id="rId2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“Psychiatrist” </w:t>
      </w:r>
      <w:r>
        <w:rPr>
          <w:rFonts w:ascii="Times New Roman" w:hAnsi="Times New Roman"/>
          <w:b w:val="false"/>
          <w:i w:val="false"/>
          <w:color w:val="000000"/>
          <w:sz w:val="22"/>
        </w:rPr>
        <w:t>means a doctor of medicine or osteopathic medicine who is certified by the American Board of Psychiatry and Neurology or who is eligible for certification and who is fully licensed to practice medicine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Is licensed to practice psychology in the state of Iowa or meets the requirements of eligibility for a license to practice psychology in the state of Iowa as defined in Iowa Code chapter </w:t>
      </w:r>
      <w:hyperlink r:id="rId24">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certified by the Iowa department of education as a school psychologist or is eligible for certification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case managers and supervisors” </w:t>
      </w:r>
      <w:r>
        <w:rPr>
          <w:rFonts w:ascii="Times New Roman" w:hAnsi="Times New Roman"/>
          <w:b w:val="false"/>
          <w:i w:val="false"/>
          <w:color w:val="000000"/>
          <w:sz w:val="22"/>
        </w:rPr>
        <w:t>means people who have the following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bachelor’s degree with 30 semester hours or equivalent quarter hours in a human services field (including, but not limited to, psychology, social work, mental health counseling, marriage and family therapy, nursing, education, occupational therapy, and recreational therapy) and at least one year of experience in the delivery of services to the population groups that the person is hired as a case manager or case management supervisor to serve;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Iowa license to practice as a registered nurse and at least three years of experience in the delivery of services to the population group the person is hired as a case manager or case management supervisor to serve.</w:t>
      </w:r>
    </w:p>
    <w:p>
      <w:pPr>
        <w:spacing w:before="0" w:after="0"/>
        <w:ind w:left="120"/>
        <w:jc w:val="both"/>
      </w:pPr>
      <w:r>
        <w:rPr>
          <w:rFonts w:ascii="Times New Roman" w:hAnsi="Times New Roman"/>
          <w:b w:val="false"/>
          <w:i w:val="false"/>
          <w:color w:val="000000"/>
          <w:sz w:val="22"/>
        </w:rPr>
        <w:t>People employed as case management supervisors on or before August 1, 1993, who do not meet these requirements shall be considered to meet these requirements as long as they are continuously employed by the same case management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“Readiness assessment” </w:t>
      </w:r>
      <w:r>
        <w:rPr>
          <w:rFonts w:ascii="Times New Roman" w:hAnsi="Times New Roman"/>
          <w:b w:val="false"/>
          <w:i w:val="false"/>
          <w:color w:val="000000"/>
          <w:sz w:val="22"/>
        </w:rPr>
        <w:t>means a process of involving the individual using the service in clarifying motivational readiness to participate in the recovery process. For purposes of this chapter, the definition and explanation are taken from the Psychiatric Rehabilitation Practitioner Tools, as developed by the Boston Center for Psychiatric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“Readiness development” </w:t>
      </w:r>
      <w:r>
        <w:rPr>
          <w:rFonts w:ascii="Times New Roman" w:hAnsi="Times New Roman"/>
          <w:b w:val="false"/>
          <w:i w:val="false"/>
          <w:color w:val="000000"/>
          <w:sz w:val="22"/>
        </w:rPr>
        <w:t>means services designed to develop or increase an individual’s interest, motivation, and resolve to engage in the rehabilitation services process, as a means of enhancing independent functioning and quality of life. For purposes of this chapter, the definition and explanation are taken from the Psychiatric Rehabilitation Practitioner Tools, as developed by the Boston Center for Psychiatric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means a person who is licensed to practice nursing in the state of Iowa as defined in Iowa Code chapter </w:t>
      </w:r>
      <w:hyperlink r:id="rId2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services” </w:t>
      </w:r>
      <w:r>
        <w:rPr>
          <w:rFonts w:ascii="Times New Roman" w:hAnsi="Times New Roman"/>
          <w:b w:val="false"/>
          <w:i w:val="false"/>
          <w:color w:val="000000"/>
          <w:sz w:val="22"/>
        </w:rPr>
        <w:t>means services designed to restore, improve, or maximize the individual’s optimal level of functioning, self-care, self-responsibility, independence and quality of life and to minimize impairments, disabilities and dysfunction caused by a serious and persistent mental or emotional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restriction” </w:t>
      </w:r>
      <w:r>
        <w:rPr>
          <w:rFonts w:ascii="Times New Roman" w:hAnsi="Times New Roman"/>
          <w:b w:val="false"/>
          <w:i w:val="false"/>
          <w:color w:val="000000"/>
          <w:sz w:val="22"/>
        </w:rPr>
        <w:t>means limitations not imposed on the general public in the areas of communication, mobility, finances, medical or mental health treatment, intimacy, privacy, type of work, religion, place of residence, and people with whom the individual using the service may share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emotional disturbance” </w:t>
      </w:r>
      <w:r>
        <w:rPr>
          <w:rFonts w:ascii="Times New Roman" w:hAnsi="Times New Roman"/>
          <w:b w:val="false"/>
          <w:i w:val="false"/>
          <w:color w:val="000000"/>
          <w:sz w:val="22"/>
        </w:rPr>
        <w:t>means a diagnosable mental, behavioral, or emotional disorder that (1) is of sufficient duration to meet diagnostic criteria for the disorder specified by the current version of the Diagnostic and Statistical Manual of Mental Disorders (DSM) published by the American Psychiatric Association; and (2) has resulted in a functional impairment that substantially interferes with or limits a consumer’s role or functioning in family, school, or community activities. “Serious emotional disturbance” shall not include neurodevelopmental disorders, substance-related disorders, or conditions or problems classified in the current version of the DSM as “other conditions that may be a focus of clinical attention,” unless those conditions co-occur with another diagnosable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an individualized goal-oriented plan of services written in language understandable by the individual using the service and developed collaboratively by the individual and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people paid by the organization to perform duties and responsibilities defined in the organization’s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policy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has written policy direction for the organization and each service being 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policies and procedures manual with policy guidelines and administrative procedures for all organizational activities and services specific to its organization that addresses the standards in effect at the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cover each benchmark and indicator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manual is made available to all staff.</w:t>
      </w:r>
    </w:p>
    <w:p>
      <w:pPr>
        <w:spacing w:before="0" w:after="0"/>
        <w:ind w:left="120"/>
        <w:jc w:val="both"/>
      </w:pPr>
      <w:r>
        <w:rPr>
          <w:rFonts w:ascii="Times New Roman" w:hAnsi="Times New Roman"/>
          <w:b/>
          <w:i w:val="false"/>
          <w:color w:val="000000"/>
          <w:sz w:val="22"/>
        </w:rPr>
        <w:t>441—24.3</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organizational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Performance improvement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has a systematic, organizationwide, planned approach to designing, measuring, evaluating, and improving the level of its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r>
        <w:rPr>
          <w:rFonts w:ascii="Times New Roman" w:hAnsi="Times New Roman"/>
          <w:b w:val="false"/>
          <w:i w:val="false"/>
          <w:color w:val="000000"/>
          <w:sz w:val="22"/>
        </w:rPr>
        <w:t>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Annually measures and assesses organizational activities and services accredited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Gathers information from individuals using the services, from staff, and from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Implements an internal review of individual records for those services accredited under this chapter. For outpatient psychotherapy and counseling services, the organization: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Reviews the individual’s involvement in and with treatment.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Ensures that treatment activities are documented and are relevant to the diagnosis or presenting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Reviews the organization’s response to incidents reported under subrule </w:t>
      </w:r>
      <w:hyperlink r:id="rId26">
        <w:r>
          <w:rPr>
            <w:rStyle w:val="Hyperlink"/>
            <w:rFonts w:ascii="Times New Roman" w:hAnsi="Times New Roman"/>
            <w:b w:val="false"/>
            <w:i w:val="false"/>
            <w:color w:val="000000"/>
            <w:sz w:val="22"/>
          </w:rPr>
          <w:t>24.4(5)</w:t>
        </w:r>
      </w:hyperlink>
      <w:r>
        <w:rPr>
          <w:rFonts w:ascii="Times New Roman" w:hAnsi="Times New Roman"/>
          <w:b w:val="false"/>
          <w:i w:val="false"/>
          <w:color w:val="000000"/>
          <w:sz w:val="22"/>
        </w:rPr>
        <w:t xml:space="preserve"> for necessity, appropriateness, effectiveness and prevention. This review includes analysis of incident data at least annually to identify any patterns of risk to the health and safety of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Reviews the organization’s response to any situation that poses a danger or threat to staff or to individuals using the services for necessity, appropriateness, effectiveness,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 plan to address the areas in need of improvement. Where applicable, the organization establishes a plan to resolve the problem of patients missing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Leadership.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Organization leaders provide the framework for the planning, designing, directing, coordination, provision and improvement of services that are responsive to the individuals using the services and the community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are clearly articulated mission and values statements that are reflected in the long-range organizational plans and in organization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and long-range budgeting process involves appropriate governing and managing levels of leadership and reflects the organization’s mission and values. An independent auditor or other person as provided by law performs an annual financial audit. Designated CMHCs shall submit their annual financial audit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services or family members of individuals using the services are represented on the organization’s governing board or on an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organization’s decision-making process, including policy decisions affecting the organization, reflects involvement of the various levels of leadership and responsiveness to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Organization leaders solicit input from leaders of the various community groups representing individuals served by the organization in designing responsive service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Organization leaders develop and implement a service system appropriate to the needs of the individuals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Organization leaders make educational information, resources, and service consultation available to community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Management information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Information is obtained, managed, and used in an efficient and effective method to document, enhance, and improve organizational performance and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 in place to maintain current individual-specific information documenting the provision and outcomes of services and treatments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system in place to maintain the confidentiality and security of information that identifies specific individuals using the services, including mail, correspondence, and electronic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provides qualified staff to support the organization’s mission and facilitate the provision of quality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r>
        <w:rPr>
          <w:rFonts w:ascii="Times New Roman" w:hAnsi="Times New Roman"/>
          <w:b w:val="false"/>
          <w:i w:val="false"/>
          <w:color w:val="000000"/>
          <w:sz w:val="22"/>
        </w:rPr>
        <w:t>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job description in the personnel file of each staff member that clearly defines responsibilities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process to verify qualifications of staff, including degrees, licenses, medication management training, and certification as required by the position, within 90 days of the staff person’s employment. For staff hired after July 1, 2006, personnel files contain evidence that verification of professional licenses and college degrees at the bachelor’s level or higher, as required by the position, was obtained from the primary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Evaluates staff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Includes a plan for staff development for each staff member in the annual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training and education to all staff relevant to their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Provides for approved training on child and dependent adult abuse reporter requirements to all organization staff who are mandatory abuse reporters. The organization documents in personnel records training on child and dependent adult abuse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staff members sign a document indicating that they are aware of the organization’s policy on confidentiality and maintains these documents in the personnel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Provides an initial orientation to new staff and documents this orientation in the employee’s personnel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mechanisms in place that afford staff the right to express concerns about a particular care issue or to file a grievance concerning a specific employment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Completes criminal and abuse record checks and evaluations as required in Iowa Code section </w:t>
      </w:r>
      <w:hyperlink r:id="rId27">
        <w:r>
          <w:rPr>
            <w:rStyle w:val="Hyperlink"/>
            <w:rFonts w:ascii="Times New Roman" w:hAnsi="Times New Roman"/>
            <w:b w:val="false"/>
            <w:i w:val="false"/>
            <w:color w:val="000000"/>
            <w:sz w:val="22"/>
          </w:rPr>
          <w:t>135C.33(5)</w:t>
        </w:r>
      </w:hyperlink>
      <w:r>
        <w:rPr>
          <w:rFonts w:ascii="Times New Roman" w:hAnsi="Times New Roman"/>
          <w:b w:val="false"/>
          <w:i w:val="false"/>
          <w:color w:val="000000"/>
          <w:sz w:val="22"/>
        </w:rPr>
        <w:t xml:space="preserve"> before employment for any employee who meets with individuals using the services in the individuals’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Establishes and implements a code of ethics for all staff addressing confidentiality, individual rights, and professional and legal issues in providing services and documents in the personnel records that the code of ethics in effect at the time of review has been reviewed with each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color w:val="000000"/>
          <w:sz w:val="22"/>
        </w:rPr>
        <w:t xml:space="preserve">Organizational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provides services in an organizational environment that is safe and supportive for the individuals being served and the staff providing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environment enhances the self-image of the individual using the service and preserves the individual’s dignity, privacy, and self-development.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environment is safe and accessible and meets all applicable local,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processes that service and maintain the environment and the effectiveness of the environment are reviewed within the organization’s monitoring and improvement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organization establishes intervention procedures for behavior that presents significant risk of harm to the individual using the service or others. The interventions also ensure that the individual’s rights are protected and that due process is afforded.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organization meets state and federal regulations in the way it implements the safe storage, provision, administration, and disposal of medication when used within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toys and other materials used by children are clean and safe.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441—24.4</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services. </w:t>
      </w:r>
      <w:r>
        <w:rPr>
          <w:rFonts w:ascii="Times New Roman" w:hAnsi="Times New Roman"/>
          <w:b w:val="false"/>
          <w:i w:val="false"/>
          <w:color w:val="000000"/>
          <w:sz w:val="22"/>
        </w:rPr>
        <w:t xml:space="preserve">Providers for the services set forth in subrules </w:t>
      </w:r>
      <w:hyperlink r:id="rId28">
        <w:r>
          <w:rPr>
            <w:rStyle w:val="Hyperlink"/>
            <w:rFonts w:ascii="Times New Roman" w:hAnsi="Times New Roman"/>
            <w:b w:val="false"/>
            <w:i w:val="false"/>
            <w:color w:val="000000"/>
            <w:sz w:val="22"/>
          </w:rPr>
          <w:t>24.4(9)</w:t>
        </w:r>
      </w:hyperlink>
      <w:r>
        <w:rPr>
          <w:rFonts w:ascii="Times New Roman" w:hAnsi="Times New Roman"/>
          <w:b w:val="false"/>
          <w:i w:val="false"/>
          <w:color w:val="000000"/>
          <w:sz w:val="22"/>
        </w:rPr>
        <w:t xml:space="preserve"> through </w:t>
      </w:r>
      <w:hyperlink r:id="rId29">
        <w:r>
          <w:rPr>
            <w:rStyle w:val="Hyperlink"/>
            <w:rFonts w:ascii="Times New Roman" w:hAnsi="Times New Roman"/>
            <w:b w:val="false"/>
            <w:i w:val="false"/>
            <w:color w:val="000000"/>
            <w:sz w:val="22"/>
          </w:rPr>
          <w:t>24.4(13)</w:t>
        </w:r>
      </w:hyperlink>
      <w:r>
        <w:rPr>
          <w:rFonts w:ascii="Times New Roman" w:hAnsi="Times New Roman"/>
          <w:b w:val="false"/>
          <w:i w:val="false"/>
          <w:color w:val="000000"/>
          <w:sz w:val="22"/>
        </w:rPr>
        <w:t xml:space="preserve"> shall meet the standards in subrules </w:t>
      </w:r>
      <w:hyperlink r:id="rId30">
        <w:r>
          <w:rPr>
            <w:rStyle w:val="Hyperlink"/>
            <w:rFonts w:ascii="Times New Roman" w:hAnsi="Times New Roman"/>
            <w:b w:val="false"/>
            <w:i w:val="false"/>
            <w:color w:val="000000"/>
            <w:sz w:val="22"/>
          </w:rPr>
          <w:t>24.4(1)</w:t>
        </w:r>
      </w:hyperlink>
      <w:r>
        <w:rPr>
          <w:rFonts w:ascii="Times New Roman" w:hAnsi="Times New Roman"/>
          <w:b w:val="false"/>
          <w:i w:val="false"/>
          <w:color w:val="000000"/>
          <w:sz w:val="22"/>
        </w:rPr>
        <w:t xml:space="preserve"> through </w:t>
      </w:r>
      <w:hyperlink r:id="rId31">
        <w:r>
          <w:rPr>
            <w:rStyle w:val="Hyperlink"/>
            <w:rFonts w:ascii="Times New Roman" w:hAnsi="Times New Roman"/>
            <w:b w:val="false"/>
            <w:i w:val="false"/>
            <w:color w:val="000000"/>
            <w:sz w:val="22"/>
          </w:rPr>
          <w:t>24.4(8)</w:t>
        </w:r>
      </w:hyperlink>
      <w:r>
        <w:rPr>
          <w:rFonts w:ascii="Times New Roman" w:hAnsi="Times New Roman"/>
          <w:b w:val="false"/>
          <w:i w:val="false"/>
          <w:color w:val="000000"/>
          <w:sz w:val="22"/>
        </w:rPr>
        <w:t xml:space="preserve"> in addition to the standards for the specific service. Providers of outpatient psychotherapy and counseling services shall also meet standards in subrules </w:t>
      </w:r>
      <w:hyperlink r:id="rId32">
        <w:r>
          <w:rPr>
            <w:rStyle w:val="Hyperlink"/>
            <w:rFonts w:ascii="Times New Roman" w:hAnsi="Times New Roman"/>
            <w:b w:val="false"/>
            <w:i w:val="false"/>
            <w:color w:val="000000"/>
            <w:sz w:val="22"/>
          </w:rPr>
          <w:t>24.4(1)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24.4(2)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24.4(4)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24.4(6)</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24.4(7)</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24.4(8)</w:t>
        </w:r>
      </w:hyperlink>
      <w:r>
        <w:rPr>
          <w:rFonts w:ascii="Times New Roman" w:hAnsi="Times New Roman"/>
          <w:b w:val="false"/>
          <w:i w:val="false"/>
          <w:color w:val="000000"/>
          <w:sz w:val="22"/>
        </w:rPr>
        <w:t>. Providers of emergency services or evaluation services shall meet the benchmark for the services they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Social history.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completes a social history for each individual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collects and documents relevant historical information and organizes the information in one distinct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social history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Relevant information regarding the onset of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Family, physical, psychosocial, behavioral, cultural, environmental, and legal history.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Developmental history for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history of substance abuse, domestic violence, or physical, emotional,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review and update the social history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develops a written assessment for each individual served. The assessment is the basis for the services provided to the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includes information about the individual’s current situation, diagnosis, needs, problems, wants, abilities and desired results, gathered with the individual’s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solicit collateral provider information as appropriate to the individual situation in order to compile a comprehensive and full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base decisions regarding the level, type and immediacy of services to be provided, or the need for further assessment or evaluation, upon the analysis of the information gathered in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complete an annual reassessment for each individual using the service and document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the diagnosis is contained in the individual’s record. A diagnosis of intellectual disability is supported by a psychological evaluation conducted by a qualified professional. A diagnosis of developmental disability is supported by professional documentation. A determination of chronic mental illness is supported by a psychiatric or psychological evaluation conducted by a qualified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Individual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Individualized, planned, and appropriate services are guided by an individual-specific service plan developed in collaboration with the individual using the service, staff, and significantly involved others as appropriate. Services are planned for and directed to where the individuals live, learn, work, and socialize.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plan is based on the current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plan identifies observable or measurable individual goals and action steps to meet the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 plan includes interventions and supports needed to meet those goals with incremental action steps,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plan includes the staff, people, or organizations responsible for carrying out the interventions 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defined in the service plan are appropriate to the severity level of problems and specific needs or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plan reflects desired individual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identified in the service plan encourage the ability and right of the individual using the service to make choices, to experience a sense of achievement, and to modify or continue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Staff monitor the service plan with review occurring regularly. At least annually, staff assess and revise the service plan to determine achievement, continued need, or change in goals or intervention methods. The review includes the individual using the service, with the involvement of significant others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develop a separate, individualized, anticipated discharge plan as part of the service plan that is specific to each service the individual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service plan includes documentation of any rights restrictions, why there is a need for the restriction, and a plan to restore those rights or a reason why a plan is not necessary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service provision.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Individualized and appropriate intervention services and treatments are provided in ways that support the needs, desires, and goals identified in the service plan, and that respect the rights and choices of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document in the narrative the individual’s participation in the treatment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staff document the individual’s progress toward goals, the provision of staff intervention, and the individual’s response to those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service provision is in a legible, written format in accordance with organizational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completes an incident report when organization staff first become aware that an incident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documents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individual served who was involved in the incident.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names of all organization staff and others who were present or responded at the time of the incident. (For confidentiality reasons, other individuals who receive services should be identified by initials or some other accepted means.)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the organization staff took to handle the situation.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of or follow-up to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staff who were directly involved at the time of the incident or who first became aware of the incident prepare and sign the incident report before forwarding it to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file a copy of the completed incident report in a centralized location and make a notation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send a copy of the incident report to the individual’s Medicaid targeted case manager or county case worker who is involved in funding the service and notify the individual’s legal guardian within 72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legal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Staff release medical and mental health information only when properly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obtains voluntary written authorization from the individual using the service, the individual’s legal guardian, or other people authorized by law before releasing personal identifying information, medical records, mental health records, or any other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complete voluntary written authorization forms in accordance with existing federal and state laws, rules, and regulations and maintain them in each individual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regarding restrictions on the individual, such as guardianship, power of attorney, conservatorship, mental health commitments, or other court orders, is placed in the individual’s record,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w:t>
      </w:r>
      <w:r>
        <w:rPr>
          <w:rFonts w:ascii="Times New Roman" w:hAnsi="Times New Roman"/>
          <w:b w:val="false"/>
          <w:i w:val="false"/>
          <w:color w:val="000000"/>
          <w:sz w:val="22"/>
        </w:rPr>
        <w:t> </w:t>
      </w:r>
      <w:r>
        <w:rPr>
          <w:rFonts w:ascii="Times New Roman" w:hAnsi="Times New Roman"/>
          <w:b w:val="false"/>
          <w:i/>
          <w:color w:val="000000"/>
          <w:sz w:val="22"/>
        </w:rPr>
        <w:t xml:space="preserve">Service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organization develops a clear description of each of the services offered. The organization develops an admission and discharge system of services. Staff coordinate services with other settings and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has established and documented the necessary admission information to determine each individual’s eligibility for participation in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include verification in each individual’s file that a service description was provided to the individual using the service and, when appropriate, to family or significant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Continuity of services occurs through coordination among the staff and professionals providing services. Coordination of services through linkages with other settings and providers has occurred,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include a written discharge summary in each individual record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24.4(8)</w:t>
      </w:r>
      <w:r>
        <w:rPr>
          <w:rFonts w:ascii="Times New Roman" w:hAnsi="Times New Roman"/>
          <w:b w:val="false"/>
          <w:i w:val="false"/>
          <w:color w:val="000000"/>
          <w:sz w:val="22"/>
        </w:rPr>
        <w:t> </w:t>
      </w:r>
      <w:r>
        <w:rPr>
          <w:rFonts w:ascii="Times New Roman" w:hAnsi="Times New Roman"/>
          <w:b w:val="false"/>
          <w:i/>
          <w:color w:val="000000"/>
          <w:sz w:val="22"/>
        </w:rPr>
        <w:t xml:space="preserve">Respect for individual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Each individual using the service is recognized and respected in the provision of services, in accordance with basic human, civil, and statutory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provide services in ways that respect and enhance the individual’s sense of autonomy, privacy, dignity, self-esteem, and involvement in the individual’s own treatment. Staff take language barriers, cultural differences, and cognitive deficits into consideration and make provisions to facilitate meaningful individual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inform individuals using the service and, when appropriate, family and significant others of their rights, choices,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organization has a procedure established to protect the individuals using the service during any activities, procedure or research that requires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organization verifies that individuals using the service and their guardians are informed of the process to express questions, concerns, complaints, or grievances about any aspect of the individual’s service, including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the individuals and their guardians the right to appeal the application of policies, procedures, or any staff action that affects the individual using the service. The organization has established written appeal procedures and a method to ensure that the procedures and appeal process are available to individuals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individuals using the service, their legal representatives, and other people authorized by law have access to the records of the individual using the service in accordance with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24.4(9)</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means those services established pursuant to Iowa Code section </w:t>
      </w:r>
      <w:hyperlink r:id="rId38">
        <w:r>
          <w:rPr>
            <w:rStyle w:val="Hyperlink"/>
            <w:rFonts w:ascii="Times New Roman" w:hAnsi="Times New Roman"/>
            <w:b w:val="false"/>
            <w:i w:val="false"/>
            <w:color w:val="000000"/>
            <w:sz w:val="22"/>
          </w:rPr>
          <w:t>225C.20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Case management services link individuals using the service to service agencies and support systems responsible for providing the necessary direct service activities and coordinate and monitor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clearly define the need for case management and document it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team is composed of the individual using the service, the case manager, and providers or natural supports relevant to the individual’s service needs. The team may also include family members, at the discretion of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works with the individual using the service to establish the service plan that guides and coordinates the delivery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advocates for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manager coordinates and monitors the services provided to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contacts includes the date, the name of the individual using the service, the name of the case manager, and the 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case manager holds individual face-to-face meetings at least quarterly with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Case managers do not provide direct services. Individuals using the service are linked to appropriate resources, which provide necessary direct services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developing an individualized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shows that individuals using the service are informed about their choice of providers as provided in the county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Within an accredited case management program, the average caseload is no more than 45 individuals per each full-time case manager. The average caseload of children with serious emotional disturbance is no more than 15 children per full-time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case manager communicates with the team and then documents in the individual’s file a quarterly review of the individual’s progress toward achieving the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24.4(10)</w:t>
      </w:r>
      <w:r>
        <w:rPr>
          <w:rFonts w:ascii="Times New Roman" w:hAnsi="Times New Roman"/>
          <w:b w:val="false"/>
          <w:i w:val="false"/>
          <w:color w:val="000000"/>
          <w:sz w:val="22"/>
        </w:rPr>
        <w:t> </w:t>
      </w:r>
      <w:r>
        <w:rPr>
          <w:rFonts w:ascii="Times New Roman" w:hAnsi="Times New Roman"/>
          <w:b w:val="false"/>
          <w:i/>
          <w:color w:val="000000"/>
          <w:sz w:val="22"/>
        </w:rPr>
        <w:t xml:space="preserve">Day treatment services. </w:t>
      </w:r>
      <w:r>
        <w:rPr>
          <w:rFonts w:ascii="Times New Roman" w:hAnsi="Times New Roman"/>
          <w:b w:val="false"/>
          <w:i w:val="false"/>
          <w:color w:val="000000"/>
          <w:sz w:val="22"/>
        </w:rPr>
        <w:t>“Day treatment” means an individualized service emphasizing mental health treatment and intensive psychosocial rehabilitation activities designed to increase the individual’s ability to function independently or facilitate transition from residential placement. Staff use individual and group treatment and rehabilitation services based on individual needs and identified behavioral or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who are experiencing a significantly reduced ability to function in the community are stabilized and improved by the receipt of psychosocial rehabilitation, mental health treatment services, and in-home support services, and the need for residential or inpatient placement is alleviated.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with the organizational staff in identifying the problem areas to be addressed and the goals to be achieved that are based on the individual’s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individualized services designed to focus on those identified mental health or behavioral issues that are causing significant impairment in their day-to-day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who receive intensive outpatient and day treatment services receive a comprehensive and integrated schedule of recognized individual and group treatment and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and staff review their progress in resolving problems and achieving goals on a frequent and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services appropriate to defined needs and current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services from staff who are appropriately qualified and trained to provide the range and intensity of services required by the individual’s specific problems or disabilities. A mental health professional provides or directly supervises the provision of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discharge planning that focuses on coordinating and integrating individual, family, and community and organization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members of individuals using the service are involved in the planning and provision of services, as appropriate and as desired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developing a detailed psychiatric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24.4(11)</w:t>
      </w:r>
      <w:r>
        <w:rPr>
          <w:rFonts w:ascii="Times New Roman" w:hAnsi="Times New Roman"/>
          <w:b w:val="false"/>
          <w:i w:val="false"/>
          <w:color w:val="000000"/>
          <w:sz w:val="22"/>
        </w:rPr>
        <w:t> </w:t>
      </w:r>
      <w:r>
        <w:rPr>
          <w:rFonts w:ascii="Times New Roman" w:hAnsi="Times New Roman"/>
          <w:b w:val="false"/>
          <w:i/>
          <w:color w:val="000000"/>
          <w:sz w:val="22"/>
        </w:rPr>
        <w:t xml:space="preserve">Intensive psychiatric rehabilitation services. </w:t>
      </w:r>
      <w:r>
        <w:rPr>
          <w:rFonts w:ascii="Times New Roman" w:hAnsi="Times New Roman"/>
          <w:b w:val="false"/>
          <w:i w:val="false"/>
          <w:color w:val="000000"/>
          <w:sz w:val="22"/>
        </w:rPr>
        <w:t>“Intensive psychiatric rehabilitation services” means services designed to restore, improve, or maximize level of functioning, self-care, responsibility, independence, and quality of life; to minimize impairments, disabilities, and disadvantages of people who have a disabling mental illness; and to prevent or reduce the need for services in a hospital or residential setting. Services focus on improving personal capabilities while reducing the harmful effects of psychiatric disability, resulting in an individual’s recovering the ability to perform a valued role in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who are experiencing a significantly reduced ability to function in the community due to a disability are stabilized and experience role recovery by the receipt of intensive psychiatric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services from staff who meet the definition of intensive psychiatric rehabilitation practitioner. The intensive psychiatric rehabilitation supervisor has at least a bachelor’s degree in a human services field and 60 hours of training in intensive psychiatric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four to ten hours per week of recognized psychiatric rehabilitation services. All services are provided for an identified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Whenever possible, intensive psychiatric rehabilitative services are provided in natural settings where individuals using the service live, learn, work, and socialize.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Significantly involved others participate in the planning and provision of services as appropriate and as desired by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developing a detailed psychiatric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readiness assessment is initially completed with staff to assist the individual in choosing a valued role and environment. The readiness assessment culminates in a score that documents the individual’s motivational readiness.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During the readiness development phase, staff document monthly in the individual’s file changes in the individual’s motivational readiness to choose valued roles and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During the goal-choosing phase, staff and the individual identify personal criteria, describe alternative environments, and choose the goal. These activities are documented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During the goal-achieving phase, the functional assessment and resource assessment are completed. Skill programming or skill teaching takes place. These activities are documented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During goal keeping, individuals using the service participate in discharge planning that focuses on coordinating and integrating individual, family, community, and organization resources for successful community tenure and the anticipated end of psychiatric rehabilitation services. Staff document increases in skill acquisition and skill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Staff document any positive changes in environmental status, such as moving to a more independent living arrangement, enrolling in an education program, getting a job, or joining a community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On an ongoing basis and at discharge, staff or the individual using the service documents the level of individual satisfaction with intensive psychiatric rehabilitation services in each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means those services provided to individuals with a mental illness, mental retardation, or developmental disability to enable them to develop supports and learn skills that will allow them to live, learn, work and socialize in the community. Services are individualized, need- and abilities-focused, and organized according to the following components: outreach to appropriate support or treatment services; assistance and referral in meeting basic human needs; assistance in housing and living arrangements; crisis intervention and assistance; social and vocational assistance; the provision of or arrangement for personal, environmental, family, and community supports; facilitation of the individual’s identification and development of natural support systems; support, assistance, and education to the individual’s family and to the community; protection and advocacy; and service coordination.</w:t>
      </w:r>
    </w:p>
    <w:p>
      <w:pPr>
        <w:spacing w:before="0" w:after="0"/>
        <w:ind w:left="120"/>
        <w:jc w:val="both"/>
      </w:pPr>
      <w:r>
        <w:rPr>
          <w:rFonts w:ascii="Times New Roman" w:hAnsi="Times New Roman"/>
          <w:b w:val="false"/>
          <w:i w:val="false"/>
          <w:color w:val="000000"/>
          <w:sz w:val="22"/>
        </w:rPr>
        <w:t>These services are to be provided by organizational staff or through linkages with other resources and are intended to be provided in the individual’s home or other natural community environment where the skills are learned or used. Supported community living is not part of an organized mental health support or treatment group, drop-in center, or clubhouse. Skill training groups may be one of the activities in the service plan and part of supported community living. Skill training groups cannot stand alone as a supported community living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live, learn, work, and socialize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receive services within their home and community setting where the skills are learned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intake, the individuals using the service participate in a functional assessment to assist in defining areas of service need and establishing a service plan. Staff summarize the findings of the functional assessment in a narrative that describes the individual’s current level of functioning in the areas of living, learning, working, and socialization. Staff review functional assessments on a regular basis to determine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skill training and support services directed to enabling them to regain or attain higher levels of functioning or to maximize functioning in the current goal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are delivered on an individualized basis in the place where the individual using the service lives or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that steps have been taken to encourage the use of natural supports and develop new ones is in the individual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developing a detailed individualized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24.4(13)</w:t>
      </w:r>
      <w:r>
        <w:rPr>
          <w:rFonts w:ascii="Times New Roman" w:hAnsi="Times New Roman"/>
          <w:b w:val="false"/>
          <w:i w:val="false"/>
          <w:color w:val="000000"/>
          <w:sz w:val="22"/>
        </w:rPr>
        <w:t> </w:t>
      </w:r>
      <w:r>
        <w:rPr>
          <w:rFonts w:ascii="Times New Roman" w:hAnsi="Times New Roman"/>
          <w:b w:val="false"/>
          <w:i/>
          <w:color w:val="000000"/>
          <w:sz w:val="22"/>
        </w:rPr>
        <w:t xml:space="preserve">Partial hospitalization services. </w:t>
      </w:r>
      <w:r>
        <w:rPr>
          <w:rFonts w:ascii="Times New Roman" w:hAnsi="Times New Roman"/>
          <w:b w:val="false"/>
          <w:i w:val="false"/>
          <w:color w:val="000000"/>
          <w:sz w:val="22"/>
        </w:rPr>
        <w:t>“Partial hospitalization services” means an active treatment program providing intensive group and individual clinical services within a structured therapeutic environment for individuals who are exhibiting psychiatric symptoms of sufficient severity to cause significant impairment in day-to-day functioning. Short-term outpatient crisis stabilization and rehabilitation services are provided to avert hospitalization or to transition from an acute care setting. Services are supervised and managed by a mental health professional, and psychiatric consultation is routinely available. Clinical services are provided by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who are experiencing serious impairment in day-to-day functioning due to severe psychiatric distress are enabled to remain in their community living situation through the receipt of therapeutically intensive milieu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and staff mutually develop an individualized service plan that focuses on the behavioral and mental health issues and problems identified at admission. Goals are based on the individual’s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clinical services that are provided and supervised by mental health professionals. A licensed and qualified psychiatrist provides psychiatric consultation and medication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a comprehensive schedule of active, planned, and integrated psychotherapeutic and rehabilitation services provided by qualified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group and individual treatment services that are designed to increase their ability to function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are involved in the development of an anticipated discharge plan that includes linkages to family, provider, and community resources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have sufficient staff available to ensure their safety, to be responsive to crisis or individual need, and to provide active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services commensurate with current identified risk and need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Support systems identified by individuals using the service are involved in the planning and provision of services and treatments as appropriate and desired by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developing a detailed psychiatric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24.4(14)</w:t>
      </w:r>
      <w:r>
        <w:rPr>
          <w:rFonts w:ascii="Times New Roman" w:hAnsi="Times New Roman"/>
          <w:b w:val="false"/>
          <w:i w:val="false"/>
          <w:color w:val="000000"/>
          <w:sz w:val="22"/>
        </w:rPr>
        <w:t> </w:t>
      </w:r>
      <w:r>
        <w:rPr>
          <w:rFonts w:ascii="Times New Roman" w:hAnsi="Times New Roman"/>
          <w:b w:val="false"/>
          <w:i/>
          <w:color w:val="000000"/>
          <w:sz w:val="22"/>
        </w:rPr>
        <w:t xml:space="preserve">Outpatient psychotherapy and counseling services. </w:t>
      </w:r>
      <w:r>
        <w:rPr>
          <w:rFonts w:ascii="Times New Roman" w:hAnsi="Times New Roman"/>
          <w:b w:val="false"/>
          <w:i w:val="false"/>
          <w:color w:val="000000"/>
          <w:sz w:val="22"/>
        </w:rPr>
        <w:t>“Outpatient psychotherapy and counseling services” means a dynamic process in which the therapist uses professional skills, knowledge and training to enable individuals using the service to realize and mobilize their strengths and abilities, take charge of their lives, and resolve their issues and problems. Psychotherapy services may be individual, group, or family, and are provided by a person meeting the criteria of a mental health professional or by a person with a master’s degree or an intern working on a master’s degree in a mental health field who is directly supervised by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realize and mobilize their own strengths and abilities to take control of their lives in the areas where they live, learn, work, and socialize.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are prepared for their role as partners in the therapeutic process at intake where they define their situations and evaluate those factors that affect their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establish desired problem resolution at intake during the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Psychiatric services other than psychopharmacological services are available from the organization as needed by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Psychopharmacological services are available from the organization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assignment of activities to occur between sessions is documented in the following session’s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who have a chronic mental illness participate in developing a detailed psychiatric crisis intervention plan that includes natural supports and self-help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record documents that the organization follows up on individuals who miss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Treatment planning is based on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with the organizational staff in identifying the assessed needs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treatment plan identifies measurable goals, desired outcomes and time frames for achieving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treatment plan includes interventions and supports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review their progress in resolving problems and achieving goals on a frequent and regular basis with organizational staff. The treatment plan is revised as appropriate to the individual’s needs and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participate in transition/discharge planning that includes linkages to family, provider, and community resources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Significantly involved others of individuals using the service are involved in the planning and provision of services, as appropriate and as desired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24.4(15)</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“Emergency services” means crisis services that provide a focused assessment and rapid stabilization of acute symptoms of mental illness or emotional distress and are available and accessible, by telephone or face-to-face, on a 24-hour basis. The clinical assessment and psychotherapeutic services are provided by a person who has training in emergency services and who is a mental health professional or has access to a mental health professional, at least by telephone.</w:t>
      </w:r>
    </w:p>
    <w:p>
      <w:pPr>
        <w:spacing w:before="0" w:after="0"/>
        <w:ind w:left="120"/>
        <w:jc w:val="both"/>
      </w:pPr>
      <w:r>
        <w:rPr>
          <w:rFonts w:ascii="Times New Roman" w:hAnsi="Times New Roman"/>
          <w:b w:val="false"/>
          <w:i w:val="false"/>
          <w:color w:val="000000"/>
          <w:sz w:val="22"/>
        </w:rPr>
        <w:t>Services may be provided by a person who holds a master’s degree in a mental health field including, but not limited to, psychology, counseling and guidance, psychiatric nursing, psychiatric rehabilitation, or social work; or a person who holds a bachelor’s degree in a human service discipline with five years’ experience providing mental health services or human services; or a psychiatric nurse who has three years of clinical experience in mental health. A comprehensive social history is not required for this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receive emergency services when needed that provide a focused assessment and rapid stabilization of acute symptoms of mental illness or emotional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can access 24-hour emergency services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about how to access emergency services is publicized to facilitate availability of services to individuals using the service, family members,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assessments and services from either a mental health professional or from personnel who meet the requirements above and are supervised by a mental health professional. Psychiatric consultation is available,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receive intervention commensurate with current identified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Significantly involved others are involved as necessary and appropriate to the situation and as desired by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Individuals using the service are involved in the development of postemergency service planning and resource identification and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Staff document contacts in a narrative format and maintain them in a central location that will allow timely response to the problems presented by the individual using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Timely coordination of contacts with relevant professionals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24.4(16)</w:t>
      </w:r>
      <w:r>
        <w:rPr>
          <w:rFonts w:ascii="Times New Roman" w:hAnsi="Times New Roman"/>
          <w:b w:val="false"/>
          <w:i w:val="false"/>
          <w:color w:val="000000"/>
          <w:sz w:val="22"/>
        </w:rPr>
        <w:t> </w:t>
      </w:r>
      <w:r>
        <w:rPr>
          <w:rFonts w:ascii="Times New Roman" w:hAnsi="Times New Roman"/>
          <w:b w:val="false"/>
          <w:i/>
          <w:color w:val="000000"/>
          <w:sz w:val="22"/>
        </w:rPr>
        <w:t xml:space="preserve">Evaluation services. </w:t>
      </w:r>
      <w:r>
        <w:rPr>
          <w:rFonts w:ascii="Times New Roman" w:hAnsi="Times New Roman"/>
          <w:b w:val="false"/>
          <w:i w:val="false"/>
          <w:color w:val="000000"/>
          <w:sz w:val="22"/>
        </w:rPr>
        <w:t>“Evaluation services” means screening, diagnosis and assessment of individual and family functioning needs, abilities, and disabilities, and determining current status and functioning in the areas of living, learning, working, and socializing.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using the service receive comprehensive evaluation services that include screening, diagnosis, and assessment of individual or family functioning, needs and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Evaluations include screening, diagnosis, and assessment of individual or family functioning, needs, abilities, and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Evaluations consider the emotional, behavioral, cognitive, psychosocial, and physical information as appropriate and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Evaluations includes recommendations for services and need for further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health evaluations are completed by a person who meets the criteria of a mental health professional, or a person with a master’s degree who is license-eligible and supervised by a mental health professional, or an intern of a master’s or doctorate program who is supervised by a mental health professional.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3855C</w:t>
      </w:r>
      <w:r>
        <w:rPr>
          <w:rFonts w:ascii="Times New Roman" w:hAnsi="Times New Roman"/>
          <w:b w:val="false"/>
          <w:i w:val="false"/>
          <w:color w:val="000000"/>
          <w:sz w:val="16"/>
        </w:rPr>
        <w:t>, IAB 6/20/18, effective 8/1/18</w:t>
      </w:r>
      <w:r>
        <w:rPr>
          <w:rFonts w:ascii="Times New Roman" w:hAnsi="Times New Roman"/>
          <w:b w:val="false"/>
          <w:i w:val="false"/>
          <w:color w:val="000000"/>
          <w:sz w:val="16"/>
        </w:rPr>
        <w:t xml:space="preserve">; </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w:t>
      </w:r>
      <w:r>
        <w:rPr>
          <w:rFonts w:ascii="Times New Roman" w:hAnsi="Times New Roman"/>
          <w:b/>
          <w:i w:val="false"/>
          <w:color w:val="000000"/>
          <w:sz w:val="22"/>
        </w:rPr>
        <w:t xml:space="preserve">(225C) </w:t>
      </w:r>
      <w:r>
        <w:rPr>
          <w:rFonts w:ascii="Times New Roman" w:hAnsi="Times New Roman"/>
          <w:b/>
          <w:i w:val="false"/>
          <w:color w:val="000000"/>
          <w:sz w:val="22"/>
        </w:rPr>
        <w:t xml:space="preserve">Accreditation. </w:t>
      </w:r>
      <w:r>
        <w:rPr>
          <w:rFonts w:ascii="Times New Roman" w:hAnsi="Times New Roman"/>
          <w:b w:val="false"/>
          <w:i w:val="false"/>
          <w:color w:val="000000"/>
          <w:sz w:val="22"/>
        </w:rPr>
        <w:t xml:space="preserve">The division administrator shall make all decisions involving issuance, denial, or revocation of accreditation. This accreditation shall delineate all categories of service the organization is accredited to provide. Although an organization may have more than one facility or service site, the division administrator shall issue only one accreditation notice to the organization, except as provided in paragraph </w:t>
      </w:r>
      <w:hyperlink r:id="rId39">
        <w:r>
          <w:rPr>
            <w:rStyle w:val="Hyperlink"/>
            <w:rFonts w:ascii="Times New Roman" w:hAnsi="Times New Roman"/>
            <w:b w:val="false"/>
            <w:i w:val="false"/>
            <w:color w:val="000000"/>
            <w:sz w:val="22"/>
          </w:rPr>
          <w:t>24.5(5)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Organizations eligible for accreditation. </w:t>
      </w:r>
      <w:r>
        <w:rPr>
          <w:rFonts w:ascii="Times New Roman" w:hAnsi="Times New Roman"/>
          <w:b w:val="false"/>
          <w:i w:val="false"/>
          <w:color w:val="000000"/>
          <w:sz w:val="22"/>
        </w:rPr>
        <w:t>The division administrator accredits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 management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response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renewal procedures. </w:t>
      </w:r>
      <w:r>
        <w:rPr>
          <w:rFonts w:ascii="Times New Roman" w:hAnsi="Times New Roman"/>
          <w:b w:val="false"/>
          <w:i w:val="false"/>
          <w:color w:val="000000"/>
          <w:sz w:val="22"/>
        </w:rPr>
        <w:t>An applicant for accreditation shall submit Form 470-3005, Application for Accreditation, to the Division of Mental Health and Disability Services, Community, Department of Human Services, Fifth Floor, Hoover State Office Building, 1305 East Walnut,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signed by the organization’s chief executive officer and the chairperson of the governing body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chief executive officer of the applicant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of organization and specific services for which the organization is applying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targeted population groups for which services are to be provided,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individuals in each of the targeted population groups to be served,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information related to the standards as requested by division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Organizations that have received an initial 270-day accreditation and have not provided services by the end of the 270 days shall have their accreditation lapse for that specific service. This lapse of accreditation shall not be considered a denial. New applications may be submitted that include the waiting list of individuals to be served along with specific timelines of when the services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organization in good standing may apply for an add-on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r>
        <w:rPr>
          <w:rFonts w:ascii="Times New Roman" w:hAnsi="Times New Roman"/>
          <w:b w:val="false"/>
          <w:i w:val="false"/>
          <w:color w:val="000000"/>
          <w:sz w:val="22"/>
        </w:rPr>
        <w:t>Upon receipt of an application, Form 470-3005, the division shall review the materials submitted to determine whether the application is complete and request any additional material as needed. Survey reviews shall commence only after the organization has submitted all application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new organization, staff may initially conduct a desk audit or on-site visit to review the organization’s mission, policies, procedures, staff credentials, and program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review organizational services and activities as determined by the accreditation category. This review may include audits of case records, administrative procedures, clinical practices, personnel records, performance improvement systems and documentation, and interviews with staff, individuals, boards of directors, or others deemed appropriate, consistent with the confidentiality safeguards of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team shall make an on-site visit to the organization. The division shall not be required to provide advance notice to the provider of the on-site visit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on-site team shall consist of designated members of the division staff. At the division’s discretion, the team may include provider staff of other providers, individuals, and others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team shall survey the organization and the services indicated on the accreditation application in order to verify information contained in the application and ensure compliance with all applicable laws, rules, and regulations. At the time of a one-year recertification visit, the team shall review the services that did not receive three-year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team shall review case records and personnel records to see how the organization implements each of the indicators in the standards. If the documentation is not found in the records, the organization shall show, at the time the division staff is on site, documentation of how the indicator was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an organization subcontracts with agencies to provide services, on-site reviews shall be done at each subcontracting agency to determine if each agency meets all the requirements in this chapter. The accreditation is issued to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the end of the survey, the team leader shall lend an exit review. Before the close of the on-site review, the organization must provide the team leader any documentation that demonstrates how the organization has met these standards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accreditation team leader shall send a written report of the findings to the organization within 30 working days after completion of the accreditation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required to develop a corrective action and improvement plan pursuant to subrule </w:t>
      </w:r>
      <w:hyperlink r:id="rId40">
        <w:r>
          <w:rPr>
            <w:rStyle w:val="Hyperlink"/>
            <w:rFonts w:ascii="Times New Roman" w:hAnsi="Times New Roman"/>
            <w:b w:val="false"/>
            <w:i w:val="false"/>
            <w:color w:val="000000"/>
            <w:sz w:val="22"/>
          </w:rPr>
          <w:t>24.5(4)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submit the plan to the division within 30 working days after the receipt of a report issued as a result of the division’s survey review. The action plan shall include specific problem areas cited, corrective actions to be implemented by the organization, dates by which each corrective measure shall be completed, and quality assurance and improvement activities to measure and ensure continued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Quality assurance staff shall review and approve the corrective action and improvement plan before making an accreditation recommendation to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division shall offer technical assistance to organizations applying for first-time accreditation. Following accreditation, any organization may request technical assistance from the division to bring into conformity those areas found in noncompliance with this chapter’s requirements. If multiple deficiencies are noted during a survey, technical assistance may be provided to an organization, as staff time permits, to assist in implementation of an organization’s corrective action plan. Renewal applicants may be provided technical assistance as needed, if staff time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w:t>
      </w:r>
      <w:r>
        <w:rPr>
          <w:rFonts w:ascii="Times New Roman" w:hAnsi="Times New Roman"/>
          <w:b w:val="false"/>
          <w:i w:val="false"/>
          <w:color w:val="000000"/>
          <w:sz w:val="22"/>
        </w:rPr>
        <w:t> </w:t>
      </w:r>
      <w:r>
        <w:rPr>
          <w:rFonts w:ascii="Times New Roman" w:hAnsi="Times New Roman"/>
          <w:b w:val="false"/>
          <w:i/>
          <w:color w:val="000000"/>
          <w:sz w:val="22"/>
        </w:rPr>
        <w:t xml:space="preserve">Performance outcome determinations. </w:t>
      </w:r>
      <w:r>
        <w:rPr>
          <w:rFonts w:ascii="Times New Roman" w:hAnsi="Times New Roman"/>
          <w:b w:val="false"/>
          <w:i w:val="false"/>
          <w:color w:val="000000"/>
          <w:sz w:val="22"/>
        </w:rPr>
        <w:t xml:space="preserve">There are three major areas addressed in these standards: policies and procedures, organizational activities, and services, as set forth in rules </w:t>
      </w:r>
      <w:hyperlink r:id="rId41">
        <w:r>
          <w:rPr>
            <w:rStyle w:val="Hyperlink"/>
            <w:rFonts w:ascii="Times New Roman" w:hAnsi="Times New Roman"/>
            <w:b w:val="false"/>
            <w:i w:val="false"/>
            <w:color w:val="000000"/>
            <w:sz w:val="22"/>
          </w:rPr>
          <w:t>441—24.2</w:t>
        </w:r>
      </w:hyperlink>
      <w:r>
        <w:rPr>
          <w:rFonts w:ascii="Times New Roman" w:hAnsi="Times New Roman"/>
          <w:b w:val="false"/>
          <w:i w:val="false"/>
          <w:color w:val="000000"/>
          <w:sz w:val="22"/>
        </w:rPr>
        <w:t xml:space="preserve">(225C), </w:t>
      </w:r>
      <w:hyperlink r:id="rId42">
        <w:r>
          <w:rPr>
            <w:rStyle w:val="Hyperlink"/>
            <w:rFonts w:ascii="Times New Roman" w:hAnsi="Times New Roman"/>
            <w:b w:val="false"/>
            <w:i w:val="false"/>
            <w:color w:val="000000"/>
            <w:sz w:val="22"/>
          </w:rPr>
          <w:t>441—24.3</w:t>
        </w:r>
      </w:hyperlink>
      <w:r>
        <w:rPr>
          <w:rFonts w:ascii="Times New Roman" w:hAnsi="Times New Roman"/>
          <w:b w:val="false"/>
          <w:i w:val="false"/>
          <w:color w:val="000000"/>
          <w:sz w:val="22"/>
        </w:rPr>
        <w:t xml:space="preserve">(225C), and </w:t>
      </w:r>
      <w:hyperlink r:id="rId43">
        <w:r>
          <w:rPr>
            <w:rStyle w:val="Hyperlink"/>
            <w:rFonts w:ascii="Times New Roman" w:hAnsi="Times New Roman"/>
            <w:b w:val="false"/>
            <w:i w:val="false"/>
            <w:color w:val="000000"/>
            <w:sz w:val="22"/>
          </w:rPr>
          <w:t>441—24.4</w:t>
        </w:r>
      </w:hyperlink>
      <w:r>
        <w:rPr>
          <w:rFonts w:ascii="Times New Roman" w:hAnsi="Times New Roman"/>
          <w:b w:val="false"/>
          <w:i w:val="false"/>
          <w:color w:val="000000"/>
          <w:sz w:val="22"/>
        </w:rPr>
        <w:t>(225C). Each rule contains standards, with a performance benchmark and performance indicators for each standard. Each of the applicable standards for the three areas (policy and procedures, organizational activities, and services) shall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assurance staff shall determine a performance compliance level based on the number of indicators found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 indicators, if 25 percent or more of the files reviewed do not comply with the requirements for a performance indicator, then that indicator is considered out of compliance and corrective action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Corrective action is required when any indicator under policies and procedures or organizational activities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overall rating, the performance rating for policy and procedures shall count as 15 percent of the total, organizational activities as 15 percent of the total, and services as 70 percent of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of the three indicators for policy and procedures has a value of 5 out of a possible score of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 the 34 indicators for organizational activities has a value of .44 out of a possible score of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service has a separate weighting according to the total number of indicators applicable for that service, with a possible score of 70, as follows:</w:t>
      </w:r>
    </w:p>
    <w:tbl>
      <w:tblPr>
        <w:tblW w:w="5000" w:type="pct"/>
        <w:tblCellSpacing w:w="0" w:type="auto"/>
        <w:tblBorders>
          <w:top w:val="none"/>
          <w:left w:val="none"/>
          <w:bottom w:val="none"/>
          <w:right w:val="none"/>
          <w:insideH w:val="none"/>
          <w:insideV w:val="none"/>
        </w:tblBorders>
        <w:tblLayout w:type="fixed"/>
      </w:tblPr>
      <w:tblGrid>
        <w:gridCol w:w="5138"/>
        <w:gridCol w:w="3026"/>
        <w:gridCol w:w="3026"/>
      </w:tblGrid>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Service</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Number of indicators</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Value of each indicator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Case management</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50</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1.4</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 treatment</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47</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1.49</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Intensive psychiatric rehabilitation</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50</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1.4</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Supported community living</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44</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1.59</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 hospitalization</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47</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1.49</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Outpatient psychotherapy and counseling</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38</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1.84</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Emergency</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8.75</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Evaluation</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0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assurance staff shall determine a separate score for each service to be accredited. When an organization offers more than one service under this chapter, there shall be one accreditation award for all the services based upon the lowest score of the services surveyed.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w:t>
      </w:r>
      <w:r>
        <w:rPr>
          <w:rFonts w:ascii="Times New Roman" w:hAnsi="Times New Roman"/>
          <w:b w:val="false"/>
          <w:i w:val="false"/>
          <w:color w:val="000000"/>
          <w:sz w:val="22"/>
        </w:rPr>
        <w:t> </w:t>
      </w:r>
      <w:r>
        <w:rPr>
          <w:rFonts w:ascii="Times New Roman" w:hAnsi="Times New Roman"/>
          <w:b w:val="false"/>
          <w:i/>
          <w:color w:val="000000"/>
          <w:sz w:val="22"/>
        </w:rPr>
        <w:t xml:space="preserve">Accreditation decisions. </w:t>
      </w:r>
      <w:r>
        <w:rPr>
          <w:rFonts w:ascii="Times New Roman" w:hAnsi="Times New Roman"/>
          <w:b w:val="false"/>
          <w:i w:val="false"/>
          <w:color w:val="000000"/>
          <w:sz w:val="22"/>
        </w:rPr>
        <w:t xml:space="preserve">The division shall prepare all documents with a final recommendation regarding accreditation to the division administrator. </w:t>
      </w:r>
    </w:p>
    <w:p>
      <w:pPr>
        <w:spacing w:before="0" w:after="0"/>
        <w:ind w:left="120"/>
        <w:jc w:val="both"/>
      </w:pPr>
      <w:r>
        <w:rPr>
          <w:rFonts w:ascii="Times New Roman" w:hAnsi="Times New Roman"/>
          <w:b w:val="false"/>
          <w:i w:val="false"/>
          <w:color w:val="000000"/>
          <w:sz w:val="22"/>
        </w:rPr>
        <w:t>If the division administrator approves accreditation, Form 470-3006, Notice of Action-Approval, shall be issued which states the duration of the accreditation and the services that the organization is accredited to provide. If the division administrator denies or revokes accreditation, Form 470-3008, Notice of Action-Denial, shall be issued which states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270-day accreditation. </w:t>
      </w:r>
      <w:r>
        <w:rPr>
          <w:rFonts w:ascii="Times New Roman" w:hAnsi="Times New Roman"/>
          <w:b w:val="false"/>
          <w:i w:val="false"/>
          <w:color w:val="000000"/>
          <w:sz w:val="22"/>
        </w:rPr>
        <w:t>This type of accreditation may be granted to a new organization. The division administrator shall base the accreditation decision on a report by the division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has an approved policies and procedures manual that includes job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assigned to the positions meet the qualifications in the standards and the policies and procedures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Three-year accreditation. </w:t>
      </w:r>
      <w:r>
        <w:rPr>
          <w:rFonts w:ascii="Times New Roman" w:hAnsi="Times New Roman"/>
          <w:b w:val="false"/>
          <w:i w:val="false"/>
          <w:color w:val="000000"/>
          <w:sz w:val="22"/>
        </w:rPr>
        <w:t>An organization or service is eligible for this type of accreditation if it has achieved an 80 percent or higher performance compliance level. The organization may be required to develop and submit a plan of corrective action and improvement that may be monitored either by written report or an on-site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One-year accreditation. </w:t>
      </w:r>
      <w:r>
        <w:rPr>
          <w:rFonts w:ascii="Times New Roman" w:hAnsi="Times New Roman"/>
          <w:b w:val="false"/>
          <w:i w:val="false"/>
          <w:color w:val="000000"/>
          <w:sz w:val="22"/>
        </w:rPr>
        <w:t>An organization is eligible for this type of accreditation when multiple and substantial deficiencies exist in specific areas causing compliance levels with performance benchmarks and indicators to fall between 70 percent and 79 percent, or when previously required corrective action plans have not been implemented or completed. The organization must submit a corrective action plan to correct and improve specific deficiencies and overall levels of functioning. Quality assurance staff shall monitor this plan through on-site reviews, written reports and the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Probational 180-day accreditation. </w:t>
      </w:r>
      <w:r>
        <w:rPr>
          <w:rFonts w:ascii="Times New Roman" w:hAnsi="Times New Roman"/>
          <w:b w:val="false"/>
          <w:i w:val="false"/>
          <w:color w:val="000000"/>
          <w:sz w:val="22"/>
        </w:rPr>
        <w:t>An organization is eligible for probational 180-day accreditation instead of denial when the overall compliance level is from 60 to 69 percent, and pervasive and serious deficiencies exist; or when corrective action plans previously required as a result of a one-year accreditation have not been implemented or completed. The division administrator may downgrade organizations with a one-year or three-year accreditation to the probational 180-day accreditation when one or more complaints are founded.</w:t>
      </w:r>
    </w:p>
    <w:p>
      <w:pPr>
        <w:spacing w:before="0" w:after="0"/>
        <w:ind w:left="120"/>
        <w:jc w:val="both"/>
      </w:pPr>
      <w:r>
        <w:rPr>
          <w:rFonts w:ascii="Times New Roman" w:hAnsi="Times New Roman"/>
          <w:b w:val="false"/>
          <w:i w:val="false"/>
          <w:color w:val="000000"/>
          <w:sz w:val="22"/>
        </w:rPr>
        <w:t>All deficiencies must be corrected by the time of the follow-up on-site survey at the conclusion of the provisional period. After this survey, the organization shall meet the standards for accreditation for a one-year accreditation, or the division administrator shall deny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Add-on service accreditation. </w:t>
      </w:r>
      <w:r>
        <w:rPr>
          <w:rFonts w:ascii="Times New Roman" w:hAnsi="Times New Roman"/>
          <w:b w:val="false"/>
          <w:i w:val="false"/>
          <w:color w:val="000000"/>
          <w:sz w:val="22"/>
        </w:rPr>
        <w:t>When the on-site review of the add-on service results in a score comparable to the overall organization’s score at the time of the most recent accreditation, the organization shall have the add-on accreditation date coincide with the overall accreditation date of the organization. If the add-on service on-site review results in a lower score and lower accreditation decision, division staff shall conduct another on-site review for that add-on service when the add-on service accreditation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organization subcontracts with more than one agency, the length of accreditation shall be determined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accreditation period for services that have deemed status according to rule </w:t>
      </w:r>
      <w:hyperlink r:id="rId44">
        <w:r>
          <w:rPr>
            <w:rStyle w:val="Hyperlink"/>
            <w:rFonts w:ascii="Times New Roman" w:hAnsi="Times New Roman"/>
            <w:b w:val="false"/>
            <w:i w:val="false"/>
            <w:color w:val="000000"/>
            <w:sz w:val="22"/>
          </w:rPr>
          <w:t>441—24.6</w:t>
        </w:r>
      </w:hyperlink>
      <w:r>
        <w:rPr>
          <w:rFonts w:ascii="Times New Roman" w:hAnsi="Times New Roman"/>
          <w:b w:val="false"/>
          <w:i w:val="false"/>
          <w:color w:val="000000"/>
          <w:sz w:val="22"/>
        </w:rPr>
        <w:t>(225C) shall coincide with the period awarded by the national accrediting body or the certification for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New or add-on services that meet the requirements for accreditation shall receive an initial 270-day accreditation for that individual service. The term of accreditation shall be determined individually. At the time of recertification of the new add-on service, recommendation may be made to coincide with the term of accreditation for the other services of that organization that are accredited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must notify the division when there are changes in its ownership, structure, management, or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division may grant an extension to the period of accreditation if there has been a delay in the accreditation process that is beyond the control of the organization or the division, or the organization has requested an extension to permit the organization to prepare and obtain approval of a corrective action plan. The division shall establish the length of the extension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Denial of accreditation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Accreditation shall be denied when there are pervasive and serious deficiencies that put individuals at immediate risk or when the overall compliance level falls to 59 percent or below. Under such circumstances no corrective action report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one or more complaints are received, quality assurance staff shall complete an investigation and submit a report to the division administrator. If any of the complaints are substantiated and the division administrator determines that there is a pervasive or serious deficiency, the division administrator may deny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organization whose accreditation has been denied or revoked shall not be approved for any service for at least six months from the notice of decision denying or revoking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organization disagrees with any action or failure to act in regard to the notice of decision to deny accreditation to the organization, the organization has the right to appeal in accordance with </w:t>
      </w:r>
      <w:hyperlink r:id="rId4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w:t>
      </w:r>
      <w:r>
        <w:rPr>
          <w:rFonts w:ascii="Times New Roman" w:hAnsi="Times New Roman"/>
          <w:b w:val="false"/>
          <w:i w:val="false"/>
          <w:color w:val="000000"/>
          <w:sz w:val="22"/>
        </w:rPr>
        <w:t> </w:t>
      </w:r>
      <w:r>
        <w:rPr>
          <w:rFonts w:ascii="Times New Roman" w:hAnsi="Times New Roman"/>
          <w:b w:val="false"/>
          <w:i/>
          <w:color w:val="000000"/>
          <w:sz w:val="22"/>
        </w:rPr>
        <w:t xml:space="preserve">Nonassignability. </w:t>
      </w:r>
      <w:r>
        <w:rPr>
          <w:rFonts w:ascii="Times New Roman" w:hAnsi="Times New Roman"/>
          <w:b w:val="false"/>
          <w:i w:val="false"/>
          <w:color w:val="000000"/>
          <w:sz w:val="22"/>
        </w:rPr>
        <w:t xml:space="preserve">Accreditation shall not be assignable to any other organization or provider. Any person or other legal entity acquiring an accredited facility for the purpose of operating a service shall make an application as provided in subrule </w:t>
      </w:r>
      <w:hyperlink r:id="rId46">
        <w:r>
          <w:rPr>
            <w:rStyle w:val="Hyperlink"/>
            <w:rFonts w:ascii="Times New Roman" w:hAnsi="Times New Roman"/>
            <w:b w:val="false"/>
            <w:i w:val="false"/>
            <w:color w:val="000000"/>
            <w:sz w:val="22"/>
          </w:rPr>
          <w:t>24.5(2)</w:t>
        </w:r>
      </w:hyperlink>
      <w:r>
        <w:rPr>
          <w:rFonts w:ascii="Times New Roman" w:hAnsi="Times New Roman"/>
          <w:b w:val="false"/>
          <w:i w:val="false"/>
          <w:color w:val="000000"/>
          <w:sz w:val="22"/>
        </w:rPr>
        <w:t xml:space="preserve"> for a new certificate of accreditation. Similarly, any organization having acquired accreditation and desiring to alter the service philosophy or transfer operations to different premises must notify the division in writing 30 calendar days before taking action in order for the division to review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24.5(7)</w:t>
      </w:r>
      <w:r>
        <w:rPr>
          <w:rFonts w:ascii="Times New Roman" w:hAnsi="Times New Roman"/>
          <w:b w:val="false"/>
          <w:i w:val="false"/>
          <w:color w:val="000000"/>
          <w:sz w:val="22"/>
        </w:rPr>
        <w:t> </w:t>
      </w:r>
      <w:r>
        <w:rPr>
          <w:rFonts w:ascii="Times New Roman" w:hAnsi="Times New Roman"/>
          <w:b w:val="false"/>
          <w:i/>
          <w:color w:val="000000"/>
          <w:sz w:val="22"/>
        </w:rPr>
        <w:t xml:space="preserve">Discontinuation.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Discontinued organization. </w:t>
      </w:r>
      <w:r>
        <w:rPr>
          <w:rFonts w:ascii="Times New Roman" w:hAnsi="Times New Roman"/>
          <w:b w:val="false"/>
          <w:i w:val="false"/>
          <w:color w:val="000000"/>
          <w:sz w:val="22"/>
        </w:rPr>
        <w:t>A discontinued organization is one that has terminated all of the services for which it has been accredited. Accreditation is not transferable between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organization shall notify the division in writing of any sale, change in business status, closure, or transfer of ownership of the business at least 30 calendar days before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responsible for the referral and placement of individuals using the services, as appropriate, and for the preservation of all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Discontinued service. </w:t>
      </w:r>
      <w:r>
        <w:rPr>
          <w:rFonts w:ascii="Times New Roman" w:hAnsi="Times New Roman"/>
          <w:b w:val="false"/>
          <w:i w:val="false"/>
          <w:color w:val="000000"/>
          <w:sz w:val="22"/>
        </w:rPr>
        <w:t>An organization shall notify the division in writing of the discontinuation of an accredited or certified service at least 30 calendar days before the service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discontinuation of a service shall not be initiated during the 30 days before the start of a survey. Once a survey has begun, all services shall be considered in determining the organization’s accreditation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responsible for the referral and placement of individuals using the services, as appropriate, and for the preservation of all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441—24.6</w:t>
      </w:r>
      <w:r>
        <w:rPr>
          <w:rFonts w:ascii="Times New Roman" w:hAnsi="Times New Roman"/>
          <w:b/>
          <w:i w:val="false"/>
          <w:color w:val="000000"/>
          <w:sz w:val="22"/>
        </w:rPr>
        <w:t xml:space="preserve">(225C) </w:t>
      </w:r>
      <w:r>
        <w:rPr>
          <w:rFonts w:ascii="Times New Roman" w:hAnsi="Times New Roman"/>
          <w:b/>
          <w:i w:val="false"/>
          <w:color w:val="000000"/>
          <w:sz w:val="22"/>
        </w:rPr>
        <w:t xml:space="preserve">Deemed status (all services). </w:t>
      </w:r>
      <w:r>
        <w:rPr>
          <w:rFonts w:ascii="Times New Roman" w:hAnsi="Times New Roman"/>
          <w:b w:val="false"/>
          <w:i w:val="false"/>
          <w:color w:val="000000"/>
          <w:sz w:val="22"/>
        </w:rPr>
        <w:t>The division shall grant deemed status to organizations accredited by a recognized national, not-for-profit, accrediting body when the division determines the accreditation is for similar services. The division may also grant deemed status for supported community living services to organizations that are certified under the Medicaid home- and community-based services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color w:val="000000"/>
          <w:sz w:val="22"/>
        </w:rPr>
        <w:t xml:space="preserve">National accrediting bodies.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national accrediting bodies currently recognized as meeting division criteria for possible deeming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Joint Commission (TJC).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Council on Quality and Leadership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accreditation credentials of these national bodies must specify the type of organization, programs, and services that these bodies accredit and include targeted population groups,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Deemed status means that the division is accepting an outside body’s review, assessment, and accreditation of an organization’s functioning and services. Therefore, the accrediting body doing the review must be assessing categories of organizations and types of programs and services corresponding to those described under this chapter. An organization that has deemed status must adhere to and be accountable for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organization that is nationally accredited requests deemed status for services not covered by the national body’s standards but covered under this chapter, the division shall accredit those services. Division staff shall provide technical assistance to organizations with deemed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deemed status, the organization shall submit Form 470-3332, Application and Letter of Agreement; copy of the latest survey report; documentation related to any corrective action required; accreditation certificate; documentation of specific programming policies and procedures for populations being served; and credentials for staff providing services to populations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not accept an application for deemed status once the division has begun an on-site visit. The organization shall complete the accreditation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deemed status. </w:t>
      </w:r>
      <w:r>
        <w:rPr>
          <w:rFonts w:ascii="Times New Roman" w:hAnsi="Times New Roman"/>
          <w:b w:val="false"/>
          <w:i w:val="false"/>
          <w:color w:val="000000"/>
          <w:sz w:val="22"/>
        </w:rPr>
        <w:t>To be eligible for deemed status, the organization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currently accredited: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a recognized national accrediting body for services as defined in subrule </w:t>
      </w:r>
      <w:hyperlink r:id="rId47">
        <w:r>
          <w:rPr>
            <w:rStyle w:val="Hyperlink"/>
            <w:rFonts w:ascii="Times New Roman" w:hAnsi="Times New Roman"/>
            <w:b w:val="false"/>
            <w:i w:val="false"/>
            <w:color w:val="000000"/>
            <w:sz w:val="22"/>
          </w:rPr>
          <w:t>24.6(1)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supported community living under the Medicaid HCBS intellectual disability waiver pursuant to </w:t>
      </w:r>
      <w:hyperlink r:id="rId48">
        <w:r>
          <w:rPr>
            <w:rStyle w:val="Hyperlink"/>
            <w:rFonts w:ascii="Times New Roman" w:hAnsi="Times New Roman"/>
            <w:b w:val="false"/>
            <w:i w:val="false"/>
            <w:color w:val="000000"/>
            <w:sz w:val="22"/>
          </w:rPr>
          <w:t>441—subrule 77.37(14)</w:t>
        </w:r>
      </w:hyperlink>
      <w:r>
        <w:rPr>
          <w:rFonts w:ascii="Times New Roman" w:hAnsi="Times New Roman"/>
          <w:b w:val="false"/>
          <w:i w:val="false"/>
          <w:color w:val="000000"/>
          <w:sz w:val="22"/>
        </w:rPr>
        <w:t>. If individuals with mental illness are served, the organization must submit verification of the training and experience of the staff to show that its staff can meet the needs of the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staff for the program being deemed to have the necessary training and experience to meet the needs of the population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staff to meet the incident reporting requirements in subrule </w:t>
      </w:r>
      <w:hyperlink r:id="rId49">
        <w:r>
          <w:rPr>
            <w:rStyle w:val="Hyperlink"/>
            <w:rFonts w:ascii="Times New Roman" w:hAnsi="Times New Roman"/>
            <w:b w:val="false"/>
            <w:i w:val="false"/>
            <w:color w:val="000000"/>
            <w:sz w:val="22"/>
          </w:rPr>
          <w:t>24.4(5)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24.6(4)</w:t>
      </w:r>
      <w:r>
        <w:rPr>
          <w:rFonts w:ascii="Times New Roman" w:hAnsi="Times New Roman"/>
          <w:b w:val="false"/>
          <w:i w:val="false"/>
          <w:color w:val="000000"/>
          <w:sz w:val="22"/>
        </w:rPr>
        <w:t> </w:t>
      </w:r>
      <w:r>
        <w:rPr>
          <w:rFonts w:ascii="Times New Roman" w:hAnsi="Times New Roman"/>
          <w:b w:val="false"/>
          <w:i/>
          <w:color w:val="000000"/>
          <w:sz w:val="22"/>
        </w:rPr>
        <w:t xml:space="preserve">Granting of deemed status. </w:t>
      </w:r>
      <w:r>
        <w:rPr>
          <w:rFonts w:ascii="Times New Roman" w:hAnsi="Times New Roman"/>
          <w:b w:val="false"/>
          <w:i w:val="false"/>
          <w:color w:val="000000"/>
          <w:sz w:val="22"/>
        </w:rPr>
        <w:t>When the division grants deemed status, the accreditation period shall coincide with the period awarded by the national accrediting body or the certification for home- and community-based services. However, under no circumstances shall the division award accreditation for longer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24.6(5)</w:t>
      </w:r>
      <w:r>
        <w:rPr>
          <w:rFonts w:ascii="Times New Roman" w:hAnsi="Times New Roman"/>
          <w:b w:val="false"/>
          <w:i w:val="false"/>
          <w:color w:val="000000"/>
          <w:sz w:val="22"/>
        </w:rPr>
        <w:t> </w:t>
      </w:r>
      <w:r>
        <w:rPr>
          <w:rFonts w:ascii="Times New Roman" w:hAnsi="Times New Roman"/>
          <w:b w:val="false"/>
          <w:i/>
          <w:color w:val="000000"/>
          <w:sz w:val="22"/>
        </w:rPr>
        <w:t xml:space="preserve">Reservations. </w:t>
      </w:r>
      <w:r>
        <w:rPr>
          <w:rFonts w:ascii="Times New Roman" w:hAnsi="Times New Roman"/>
          <w:b w:val="false"/>
          <w:i w:val="false"/>
          <w:color w:val="000000"/>
          <w:sz w:val="22"/>
        </w:rPr>
        <w:t>When deemed status is granted, the division reserves rights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have division staff conduct on-site reviews for those organizations applying for deemed status which the division has not previously accredited.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have division staff do joint site visits with the accrediting body, attend exit conferences, or conduct focused follow-behind visits as determined to be appropriate in consultation with the national accrediting organization and the provider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informed of and to investigate all complaints that fall under this chapter’s jurisdiction according to the process in rule </w:t>
      </w:r>
      <w:hyperlink r:id="rId50">
        <w:r>
          <w:rPr>
            <w:rStyle w:val="Hyperlink"/>
            <w:rFonts w:ascii="Times New Roman" w:hAnsi="Times New Roman"/>
            <w:b w:val="false"/>
            <w:i w:val="false"/>
            <w:color w:val="000000"/>
            <w:sz w:val="22"/>
          </w:rPr>
          <w:t>441—24.7</w:t>
        </w:r>
      </w:hyperlink>
      <w:r>
        <w:rPr>
          <w:rFonts w:ascii="Times New Roman" w:hAnsi="Times New Roman"/>
          <w:b w:val="false"/>
          <w:i w:val="false"/>
          <w:color w:val="000000"/>
          <w:sz w:val="22"/>
        </w:rPr>
        <w:t>(225C). The division shall report findings to the national accrediting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review and act upon deemed status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Complaints have been founded,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organization’s national accreditation status expires without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national accrediting body downgrades or withdraws the organization’s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24.6(6)</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send a copy of Form 470-3332, Application and Letter of Agreement, along with a copy of the application for renewal to the national accrediting body at the same time as application is made to a national accrediting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HCBS staff shall furnish to the division copies of the letter notifying a provider of a forthcoming recertification for organizations deemed for supported community living under the HCBS intellectual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the on-site review by a national accrediting body, the organization shall send the division a copy of the cover sheet and the national accrediting body report within 30 calendar days from the date that the organization receives the documents. If a corrective action plan is required, the organization shall send the division a copy of all correspondence and documentation related to the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HCBS staff shall furnish the division with copies of HCBS certification reports and any corrective action required by HCBS within 30 calendar days after HCBS staff complete the report or the organization completes required corrective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441—24.7</w:t>
      </w:r>
      <w:r>
        <w:rPr>
          <w:rFonts w:ascii="Times New Roman" w:hAnsi="Times New Roman"/>
          <w:b/>
          <w:i w:val="false"/>
          <w:color w:val="000000"/>
          <w:sz w:val="22"/>
        </w:rPr>
        <w:t xml:space="preserve">(225C) </w:t>
      </w:r>
      <w:r>
        <w:rPr>
          <w:rFonts w:ascii="Times New Roman" w:hAnsi="Times New Roman"/>
          <w:b/>
          <w:i w:val="false"/>
          <w:color w:val="000000"/>
          <w:sz w:val="22"/>
        </w:rPr>
        <w:t xml:space="preserve">Complaint process (all services). </w:t>
      </w:r>
      <w:r>
        <w:rPr>
          <w:rFonts w:ascii="Times New Roman" w:hAnsi="Times New Roman"/>
          <w:b w:val="false"/>
          <w:i w:val="false"/>
          <w:color w:val="000000"/>
          <w:sz w:val="22"/>
        </w:rPr>
        <w:t>The division shall receive and record complaints by individuals using the services, employees, any interested people, and the public relating to or alleging violations of applicable requirements of the Iowa Code or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Submittal of complaint. </w:t>
      </w:r>
      <w:r>
        <w:rPr>
          <w:rFonts w:ascii="Times New Roman" w:hAnsi="Times New Roman"/>
          <w:b w:val="false"/>
          <w:i w:val="false"/>
          <w:color w:val="000000"/>
          <w:sz w:val="22"/>
        </w:rPr>
        <w:t>The complaint may be submitted in person; or by mail to the Division of Mental Health and Disability Services, Community, Department of Human Services, Hoover State Office Building, Fifth Floor, 1305 East Walnut, Des Moines, Iowa 50319-0114; electronically through the department’s website; by email to division staff;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shall assist individuals in making a complaint as needed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received should specifically state the basis of the complaint. The division shall keep the name of the complainant confidential to the extent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Review of complaint. </w:t>
      </w:r>
      <w:r>
        <w:rPr>
          <w:rFonts w:ascii="Times New Roman" w:hAnsi="Times New Roman"/>
          <w:b w:val="false"/>
          <w:i w:val="false"/>
          <w:color w:val="000000"/>
          <w:sz w:val="22"/>
        </w:rPr>
        <w:t>Upon receipt of a complaint, the division shall make a preliminary desk review of the complaint to determine an appropriate response. That response may include notifying the person who submitted the complaint that there is no basis for a review, referring the complaint to another investigative body, or making a determination to do a full investigation. The complainant may submit a written request for a report of the findings and actions taken by the division as a result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complaint. </w:t>
      </w:r>
      <w:r>
        <w:rPr>
          <w:rFonts w:ascii="Times New Roman" w:hAnsi="Times New Roman"/>
          <w:b w:val="false"/>
          <w:i w:val="false"/>
          <w:color w:val="000000"/>
          <w:sz w:val="22"/>
        </w:rPr>
        <w:t>If the division concludes that the complaint is reasonable, has merit, and is based on a violation of rules in this chapter, it may make an investigation of the organization. The division may investigate complaints by an office desk audit or by an on-site investigation. The division shall give priority for on-site investigations to instances when individuals using the service are in immediate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decision is made to conduct an on-site investigation, the on-site review does not require advance notice to the organization. The division shall notify the chief executive officer and board chairperson of the organization involved before or at the commencement of the on-site investigation that the division has received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give the organization an opportunity to informally present a position regarding allegations in the complaint. The organization may submit the position in writing within five working days following the on-site visit or present it in a personal conference with division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shall submit a written report by certified mail to the chief executive officer of the organization and the chairperson of the board of directors within 20 working days after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report shall indicate whether the complaint was or was not substantiated, the basis for the substantiation or nonsubstantiation decision and the specific rules violated, and a recommendation for corrective action with time lines specified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complaint is substantiated, the division may take actions deemed appropriate, which may include requiring a corrective action plan, shortening the term of accreditation or suspending or revoking an organization’s accreditation, depending on the severity of the substantiated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division suspends, shortens or revokes an organization’s accreditation as the result of a substantiated compliant, the organization will be notified by certified mail of the findings and actions taken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delivery shown by the certified mail stub shall constitute the date of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24.7(4)</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w:t>
      </w:r>
      <w:r>
        <w:rPr>
          <w:rFonts w:ascii="Times New Roman" w:hAnsi="Times New Roman"/>
          <w:b w:val="false"/>
          <w:i w:val="false"/>
          <w:color w:val="000000"/>
          <w:sz w:val="22"/>
        </w:rPr>
        <w:t>When the division acts to suspend or revoke accreditation, there will be no corrective action plan. In other instances, if the complaint is substantiated, the organization shall submit a corrective action plan to the division within 20 calendar days after receiving the division’s decision. This plan must respond to violations cited and the division’s requirements and include time lines, internal monitoring systems, and performance improvement planning.</w:t>
      </w:r>
    </w:p>
    <w:p>
      <w:pPr>
        <w:spacing w:before="0" w:after="0"/>
        <w:ind w:left="120"/>
        <w:jc w:val="both"/>
      </w:pPr>
      <w:r>
        <w:rPr>
          <w:rFonts w:ascii="Times New Roman" w:hAnsi="Times New Roman"/>
          <w:b w:val="false"/>
          <w:i w:val="false"/>
          <w:color w:val="000000"/>
          <w:sz w:val="22"/>
        </w:rPr>
        <w:t>Failure of the organization to respond within 20 calendar days with an acceptable corrective action plan that addresses the organization’s plan of correction following a substantiated investigation or complaint may of itself constitute the basis for revocation or suspension of accreditation. The division shall determine the appropriate action based on the information submitted. The division shall notify the organization in writing of any action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441—24.8</w:t>
      </w:r>
      <w:r>
        <w:rPr>
          <w:rFonts w:ascii="Times New Roman" w:hAnsi="Times New Roman"/>
          <w:b/>
          <w:i w:val="false"/>
          <w:color w:val="000000"/>
          <w:sz w:val="22"/>
        </w:rPr>
        <w:t xml:space="preserve">(225C)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An appeal may be filed using the procedure identified in </w:t>
      </w:r>
      <w:hyperlink r:id="rId5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Notice of an appeal shall be sent to Appeals Section, Department of Human Services, Hoover State Office Building, Fifth Floor, 1305 East Walnut, Des Moines, Iowa 50319-0114, within 30 calendar days of the written decision from the commission.</w:t>
      </w:r>
    </w:p>
    <w:p>
      <w:pPr>
        <w:spacing w:before="210" w:after="0"/>
        <w:ind w:left="120"/>
        <w:jc w:val="both"/>
      </w:pPr>
      <w:r>
        <w:rPr>
          <w:rFonts w:ascii="Times New Roman" w:hAnsi="Times New Roman"/>
          <w:b/>
          <w:i w:val="false"/>
          <w:color w:val="000000"/>
          <w:sz w:val="22"/>
        </w:rPr>
        <w:t>441—24.9</w:t>
      </w:r>
      <w:r>
        <w:rPr>
          <w:rFonts w:ascii="Times New Roman" w:hAnsi="Times New Roman"/>
          <w:b/>
          <w:i w:val="false"/>
          <w:color w:val="000000"/>
          <w:sz w:val="22"/>
        </w:rPr>
        <w:t xml:space="preserve">(225C) </w:t>
      </w:r>
      <w:r>
        <w:rPr>
          <w:rFonts w:ascii="Times New Roman" w:hAnsi="Times New Roman"/>
          <w:b/>
          <w:i w:val="false"/>
          <w:color w:val="000000"/>
          <w:sz w:val="22"/>
        </w:rPr>
        <w:t xml:space="preserve">Exceptions to policy. </w:t>
      </w:r>
      <w:r>
        <w:rPr>
          <w:rFonts w:ascii="Times New Roman" w:hAnsi="Times New Roman"/>
          <w:b w:val="false"/>
          <w:i w:val="false"/>
          <w:color w:val="000000"/>
          <w:sz w:val="22"/>
        </w:rPr>
        <w:t xml:space="preserve">Requests for exceptions to the policies in this chapter shall follow the policies and procedures in the department’s general rule on exceptions to policy at </w:t>
      </w:r>
      <w:hyperlink r:id="rId52">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3">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441—24.10</w:t>
      </w:r>
      <w:r>
        <w:rPr>
          <w:rFonts w:ascii="Times New Roman" w:hAnsi="Times New Roman"/>
          <w:b w:val="false"/>
          <w:i w:val="false"/>
          <w:color w:val="000000"/>
          <w:sz w:val="22"/>
        </w:rPr>
        <w:t xml:space="preserve"> to </w:t>
      </w:r>
      <w:r>
        <w:rPr>
          <w:rFonts w:ascii="Times New Roman" w:hAnsi="Times New Roman"/>
          <w:b/>
          <w:i w:val="false"/>
          <w:color w:val="000000"/>
          <w:sz w:val="22"/>
        </w:rPr>
        <w:t>24.19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CRISIS RESPONSE SERVICES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 department of human services in consultation with the mental health and disability services commission has established this set of standards to be met by all providers of crisis response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441—24.20</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plan” </w:t>
      </w:r>
      <w:r>
        <w:rPr>
          <w:rFonts w:ascii="Times New Roman" w:hAnsi="Times New Roman"/>
          <w:b w:val="false"/>
          <w:i w:val="false"/>
          <w:color w:val="000000"/>
          <w:sz w:val="22"/>
        </w:rPr>
        <w:t>means a written plan developed for discharge in collaboration with the individual receiving crisis response services to identify the problem, prevention strategies, and management tools for future crises.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assessment” </w:t>
      </w:r>
      <w:r>
        <w:rPr>
          <w:rFonts w:ascii="Times New Roman" w:hAnsi="Times New Roman"/>
          <w:b w:val="false"/>
          <w:i w:val="false"/>
          <w:color w:val="000000"/>
          <w:sz w:val="22"/>
        </w:rPr>
        <w:t>means a face-to-face clinical interview to ascertain an individual’s current and previous level of functioning, potential for dangerousness, physical health, and psychiatric and medical condition. The crisis assessment becomes part of the individual’s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incident” </w:t>
      </w:r>
      <w:r>
        <w:rPr>
          <w:rFonts w:ascii="Times New Roman" w:hAnsi="Times New Roman"/>
          <w:b w:val="false"/>
          <w:i w:val="false"/>
          <w:color w:val="000000"/>
          <w:sz w:val="22"/>
        </w:rPr>
        <w:t>means an occurrence leading to physical injury or death, or an occurrence resulting from a prescription medication error, or an occurrence triggering a report of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response services” </w:t>
      </w:r>
      <w:r>
        <w:rPr>
          <w:rFonts w:ascii="Times New Roman" w:hAnsi="Times New Roman"/>
          <w:b w:val="false"/>
          <w:i w:val="false"/>
          <w:color w:val="000000"/>
          <w:sz w:val="22"/>
        </w:rPr>
        <w:t>means short-term individualized crisis stabilization services which follow a crisis screening or assessment and which are designed to restore the individual to a prior functional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response staff” </w:t>
      </w:r>
      <w:r>
        <w:rPr>
          <w:rFonts w:ascii="Times New Roman" w:hAnsi="Times New Roman"/>
          <w:b w:val="false"/>
          <w:i w:val="false"/>
          <w:color w:val="000000"/>
          <w:sz w:val="22"/>
        </w:rPr>
        <w:t xml:space="preserve">means a person trained to provide crisis response services in accordance with rule </w:t>
      </w:r>
      <w:hyperlink r:id="rId54">
        <w:r>
          <w:rPr>
            <w:rStyle w:val="Hyperlink"/>
            <w:rFonts w:ascii="Times New Roman" w:hAnsi="Times New Roman"/>
            <w:b w:val="false"/>
            <w:i w:val="false"/>
            <w:color w:val="000000"/>
            <w:sz w:val="22"/>
          </w:rPr>
          <w:t>441—24.24</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screening” </w:t>
      </w:r>
      <w:r>
        <w:rPr>
          <w:rFonts w:ascii="Times New Roman" w:hAnsi="Times New Roman"/>
          <w:b w:val="false"/>
          <w:i w:val="false"/>
          <w:color w:val="000000"/>
          <w:sz w:val="22"/>
        </w:rPr>
        <w:t>means a process to determine what crisis response service is appropriate to effectively resolve the presenting crisis.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community-based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“CSCBS” </w:t>
      </w:r>
      <w:r>
        <w:rPr>
          <w:rFonts w:ascii="Times New Roman" w:hAnsi="Times New Roman"/>
          <w:b w:val="false"/>
          <w:i w:val="false"/>
          <w:color w:val="000000"/>
          <w:sz w:val="22"/>
        </w:rPr>
        <w:t>means short-term services designed to de-escalate a crisis situation and stabilize an individual following a mental health crisis and provided where the individual lives, works or recreates.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residential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“CSRS” </w:t>
      </w:r>
      <w:r>
        <w:rPr>
          <w:rFonts w:ascii="Times New Roman" w:hAnsi="Times New Roman"/>
          <w:b w:val="false"/>
          <w:i w:val="false"/>
          <w:color w:val="000000"/>
          <w:sz w:val="22"/>
        </w:rPr>
        <w:t>means a short-term alternative living arrangement designed to de-escalate a crisis situation and stabilize an individual following a mental health crisis and is provided in organization-arranged settings of no more than 16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“Dispatch” </w:t>
      </w:r>
      <w:r>
        <w:rPr>
          <w:rFonts w:ascii="Times New Roman" w:hAnsi="Times New Roman"/>
          <w:b w:val="false"/>
          <w:i w:val="false"/>
          <w:color w:val="000000"/>
          <w:sz w:val="22"/>
        </w:rPr>
        <w:t>means the function within crisis line operations to coordinate access to crisis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“Face-to-face” </w:t>
      </w:r>
      <w:r>
        <w:rPr>
          <w:rFonts w:ascii="Times New Roman" w:hAnsi="Times New Roman"/>
          <w:b w:val="false"/>
          <w:i w:val="false"/>
          <w:color w:val="000000"/>
          <w:sz w:val="22"/>
        </w:rPr>
        <w:t>means services provided in person or utilizing telehealth in conformance with the federal Health Insurance Portability and Accountability Act (HIPAA) privacy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support peer specialist” </w:t>
      </w:r>
      <w:r>
        <w:rPr>
          <w:rFonts w:ascii="Times New Roman" w:hAnsi="Times New Roman"/>
          <w:b w:val="false"/>
          <w:i w:val="false"/>
          <w:color w:val="000000"/>
          <w:sz w:val="22"/>
        </w:rPr>
        <w:t xml:space="preserve">means the same as defined in rule </w:t>
      </w:r>
      <w:hyperlink r:id="rId55">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 xml:space="preserve">means the same as defined in rule </w:t>
      </w:r>
      <w:hyperlink r:id="rId5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crisis” </w:t>
      </w:r>
      <w:r>
        <w:rPr>
          <w:rFonts w:ascii="Times New Roman" w:hAnsi="Times New Roman"/>
          <w:b w:val="false"/>
          <w:i w:val="false"/>
          <w:color w:val="000000"/>
          <w:sz w:val="22"/>
        </w:rPr>
        <w:t>means a behavioral, emotional, or psychiatric situation which results in a high level of stress or anxiety for the individual or persons providing care for the individual and which cannot be resolved without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 xml:space="preserve">means the same as defined in Iowa Code section </w:t>
      </w:r>
      <w:hyperlink r:id="rId57">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response” </w:t>
      </w:r>
      <w:r>
        <w:rPr>
          <w:rFonts w:ascii="Times New Roman" w:hAnsi="Times New Roman"/>
          <w:b w:val="false"/>
          <w:i w:val="false"/>
          <w:color w:val="000000"/>
          <w:sz w:val="22"/>
        </w:rPr>
        <w:t>means a mental health service which provides on-site, face-to-face mental health crisis services for an individual experiencing a mental health crisis. Crisis response staff providing mobile response have the capacity to intervene wherever the crisis is occurring, including but not limited to the individual’s place of residence, an emergency room, police station, outpatient mental health setting, school, recovery center or any other location where the individual lives, works, attends school, or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support services” </w:t>
      </w:r>
      <w:r>
        <w:rPr>
          <w:rFonts w:ascii="Times New Roman" w:hAnsi="Times New Roman"/>
          <w:b w:val="false"/>
          <w:i w:val="false"/>
          <w:color w:val="000000"/>
          <w:sz w:val="22"/>
        </w:rPr>
        <w:t>means a service provided by a peer support specialist, including but not limited to education and information, individual advocacy, family support groups, crisis response, and respite to assist individuals in achieving stability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support specialist” </w:t>
      </w:r>
      <w:r>
        <w:rPr>
          <w:rFonts w:ascii="Times New Roman" w:hAnsi="Times New Roman"/>
          <w:b w:val="false"/>
          <w:i w:val="false"/>
          <w:color w:val="000000"/>
          <w:sz w:val="22"/>
        </w:rPr>
        <w:t xml:space="preserve">means the same as defined in rule </w:t>
      </w:r>
      <w:hyperlink r:id="rId58">
        <w:r>
          <w:rPr>
            <w:rStyle w:val="Hyperlink"/>
            <w:rFonts w:ascii="Times New Roman" w:hAnsi="Times New Roman"/>
            <w:b w:val="false"/>
            <w:i w:val="false"/>
            <w:color w:val="000000"/>
            <w:sz w:val="22"/>
          </w:rPr>
          <w:t>441—25.1</w:t>
        </w:r>
      </w:hyperlink>
      <w:r>
        <w:rPr>
          <w:rFonts w:ascii="Times New Roman" w:hAnsi="Times New Roman"/>
          <w:b w:val="false"/>
          <w:i w:val="false"/>
          <w:color w:val="000000"/>
          <w:sz w:val="22"/>
        </w:rPr>
        <w:t>(331).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health” </w:t>
      </w:r>
      <w:r>
        <w:rPr>
          <w:rFonts w:ascii="Times New Roman" w:hAnsi="Times New Roman"/>
          <w:b w:val="false"/>
          <w:i w:val="false"/>
          <w:color w:val="000000"/>
          <w:sz w:val="22"/>
        </w:rPr>
        <w:t>means any chronic or acute health factors that need to be addressed during crisis delivery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means a practitioner or other staff following the instruction of a practitioner as defined in Iowa Code section </w:t>
      </w:r>
      <w:hyperlink r:id="rId59">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a physician assistant or advanced registered nurse practitioner operating under the prescribing authority granted in Iowa Code section </w:t>
      </w:r>
      <w:hyperlink r:id="rId60">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 </w:t>
      </w:r>
      <w:r>
        <w:rPr>
          <w:rFonts w:ascii="Times New Roman" w:hAnsi="Times New Roman"/>
          <w:b w:val="false"/>
          <w:i w:val="false"/>
          <w:color w:val="000000"/>
          <w:sz w:val="22"/>
        </w:rPr>
        <w:t>means the application of physical force or the use of a chemical agent or mechanical device for the purpose of restraining the free movement of an individual’s body to protect the individual, or others, from immediate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restriction” </w:t>
      </w:r>
      <w:r>
        <w:rPr>
          <w:rFonts w:ascii="Times New Roman" w:hAnsi="Times New Roman"/>
          <w:b w:val="false"/>
          <w:i w:val="false"/>
          <w:color w:val="000000"/>
          <w:sz w:val="22"/>
        </w:rPr>
        <w:t>means limitations not imposed on the general public in the areas of communications, mobility, finances, medical or mental health treatment, intimacy, privacy, type of work, religion, and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“Self-administered medication” </w:t>
      </w:r>
      <w:r>
        <w:rPr>
          <w:rFonts w:ascii="Times New Roman" w:hAnsi="Times New Roman"/>
          <w:b w:val="false"/>
          <w:i w:val="false"/>
          <w:color w:val="000000"/>
          <w:sz w:val="22"/>
        </w:rPr>
        <w:t>means the process where a trained staff member observes an individual inject, inhale, ingest or, by any other means, take medication following the instructions of a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“Stabilization plan” </w:t>
      </w:r>
      <w:r>
        <w:rPr>
          <w:rFonts w:ascii="Times New Roman" w:hAnsi="Times New Roman"/>
          <w:b w:val="false"/>
          <w:i w:val="false"/>
          <w:color w:val="000000"/>
          <w:sz w:val="22"/>
        </w:rPr>
        <w:t>means a written short-term strategy used to stabilize a crisis and developed by a mental health professional, in collaboration with the crisis response staff and with the involvement and consent of the individual or the individual’s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“Staff-administered medication” </w:t>
      </w:r>
      <w:r>
        <w:rPr>
          <w:rFonts w:ascii="Times New Roman" w:hAnsi="Times New Roman"/>
          <w:b w:val="false"/>
          <w:i w:val="false"/>
          <w:color w:val="000000"/>
          <w:sz w:val="22"/>
        </w:rPr>
        <w:t>means the direct application of a prescription drug, whether by injection, inhalation, ingestion, or any other means, to the body of an individual by a qualified prescriber or authorized staff following instructions of a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is the use of electronic information and telecommunications technologies to support long-distance clinical health care, patient and professional health-related education, public health and health administration. Technologies include videoconferencing, the Internet, store-and-forward imaging, streaming media, and terrestrial and wireless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summary” </w:t>
      </w:r>
      <w:r>
        <w:rPr>
          <w:rFonts w:ascii="Times New Roman" w:hAnsi="Times New Roman"/>
          <w:b w:val="false"/>
          <w:i w:val="false"/>
          <w:color w:val="000000"/>
          <w:sz w:val="22"/>
        </w:rPr>
        <w:t>means a written summarization of the treatment and action plan at the point of an individual’s discharge or transition to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“Twenty-four-hour crisis line” </w:t>
      </w:r>
      <w:r>
        <w:rPr>
          <w:rFonts w:ascii="Times New Roman" w:hAnsi="Times New Roman"/>
          <w:b w:val="false"/>
          <w:i w:val="false"/>
          <w:color w:val="000000"/>
          <w:sz w:val="22"/>
        </w:rPr>
        <w:t>means a crisis line providing information and referral, counseling, crisis service coordination, and linkages to crisis screening and mental health services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“Twenty-four-hour crisis response” </w:t>
      </w:r>
      <w:r>
        <w:rPr>
          <w:rFonts w:ascii="Times New Roman" w:hAnsi="Times New Roman"/>
          <w:b w:val="false"/>
          <w:i w:val="false"/>
          <w:color w:val="000000"/>
          <w:sz w:val="22"/>
        </w:rPr>
        <w:t>means services are available 24 hours a day, 365 days a year, providing access to crisis screening and assessment and linkage to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“Twenty-three-hour observation and holding” </w:t>
      </w:r>
      <w:r>
        <w:rPr>
          <w:rFonts w:ascii="Times New Roman" w:hAnsi="Times New Roman"/>
          <w:b w:val="false"/>
          <w:i w:val="false"/>
          <w:color w:val="000000"/>
          <w:sz w:val="22"/>
        </w:rPr>
        <w:t>means a level of care provided for up to 23 hours in a secure and protected, medically staffed, psychiatrically supervised treatment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“Warm line” </w:t>
      </w:r>
      <w:r>
        <w:rPr>
          <w:rFonts w:ascii="Times New Roman" w:hAnsi="Times New Roman"/>
          <w:b w:val="false"/>
          <w:i w:val="false"/>
          <w:color w:val="000000"/>
          <w:sz w:val="22"/>
        </w:rPr>
        <w:t>means a telephone line staffed by individuals with lived experience who provide nonjudgmental, nondirective support to an individual who is experiencing a personal crisis.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441—24.21</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crisis response services. </w:t>
      </w:r>
      <w:r>
        <w:rPr>
          <w:rFonts w:ascii="Times New Roman" w:hAnsi="Times New Roman"/>
          <w:b w:val="false"/>
          <w:i w:val="false"/>
          <w:color w:val="000000"/>
          <w:sz w:val="22"/>
        </w:rPr>
        <w:t>An organization may be accredited to provide any one or all of the identified crisis response services. An organization seeking crisis response service accreditation shall comply with the general standards within this division and additional standards for each specific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441—24.22</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policies and procedures. </w:t>
      </w:r>
      <w:r>
        <w:rPr>
          <w:rFonts w:ascii="Times New Roman" w:hAnsi="Times New Roman"/>
          <w:b w:val="false"/>
          <w:i w:val="false"/>
          <w:color w:val="000000"/>
          <w:sz w:val="22"/>
        </w:rPr>
        <w:t xml:space="preserve">Policies and procedures manuals contain policy guidelines and administrative procedures for all activities and services and address the standards in rule </w:t>
      </w:r>
      <w:hyperlink r:id="rId61">
        <w:r>
          <w:rPr>
            <w:rStyle w:val="Hyperlink"/>
            <w:rFonts w:ascii="Times New Roman" w:hAnsi="Times New Roman"/>
            <w:b w:val="false"/>
            <w:i w:val="false"/>
            <w:color w:val="000000"/>
            <w:sz w:val="22"/>
          </w:rPr>
          <w:t>441—24.2</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441—24.23</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organizational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meet the standards in subrules </w:t>
      </w:r>
      <w:hyperlink r:id="rId62">
        <w:r>
          <w:rPr>
            <w:rStyle w:val="Hyperlink"/>
            <w:rFonts w:ascii="Times New Roman" w:hAnsi="Times New Roman"/>
            <w:b w:val="false"/>
            <w:i w:val="false"/>
            <w:color w:val="000000"/>
            <w:sz w:val="22"/>
          </w:rPr>
          <w:t>24.3(1)</w:t>
        </w:r>
      </w:hyperlink>
      <w:r>
        <w:rPr>
          <w:rFonts w:ascii="Times New Roman" w:hAnsi="Times New Roman"/>
          <w:b w:val="false"/>
          <w:i w:val="false"/>
          <w:color w:val="000000"/>
          <w:sz w:val="22"/>
        </w:rPr>
        <w:t xml:space="preserve"> through </w:t>
      </w:r>
      <w:hyperlink r:id="rId63">
        <w:r>
          <w:rPr>
            <w:rStyle w:val="Hyperlink"/>
            <w:rFonts w:ascii="Times New Roman" w:hAnsi="Times New Roman"/>
            <w:b w:val="false"/>
            <w:i w:val="false"/>
            <w:color w:val="000000"/>
            <w:sz w:val="22"/>
          </w:rPr>
          <w:t>24.3(5)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describe the staffing structure that details how staff are utilized to provide the specific crisis stabilization services in rules </w:t>
      </w:r>
      <w:hyperlink r:id="rId64">
        <w:r>
          <w:rPr>
            <w:rStyle w:val="Hyperlink"/>
            <w:rFonts w:ascii="Times New Roman" w:hAnsi="Times New Roman"/>
            <w:b w:val="false"/>
            <w:i w:val="false"/>
            <w:color w:val="000000"/>
            <w:sz w:val="22"/>
          </w:rPr>
          <w:t>441—24.32</w:t>
        </w:r>
      </w:hyperlink>
      <w:r>
        <w:rPr>
          <w:rFonts w:ascii="Times New Roman" w:hAnsi="Times New Roman"/>
          <w:b w:val="false"/>
          <w:i w:val="false"/>
          <w:color w:val="000000"/>
          <w:sz w:val="22"/>
        </w:rPr>
        <w:t xml:space="preserve">(225C) through </w:t>
      </w:r>
      <w:hyperlink r:id="rId65">
        <w:r>
          <w:rPr>
            <w:rStyle w:val="Hyperlink"/>
            <w:rFonts w:ascii="Times New Roman" w:hAnsi="Times New Roman"/>
            <w:b w:val="false"/>
            <w:i w:val="false"/>
            <w:color w:val="000000"/>
            <w:sz w:val="22"/>
          </w:rPr>
          <w:t>441—24.39</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 xml:space="preserve">; </w:t>
      </w:r>
      <w:r>
        <w:rPr>
          <w:rFonts w:ascii="Times New Roman" w:hAnsi="Times New Roman"/>
          <w:b/>
          <w:i w:val="false"/>
          <w:color w:val="000000"/>
          <w:sz w:val="16"/>
        </w:rPr>
        <w:t>ARC 3057C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441—24.24</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crisis response staff. </w:t>
      </w:r>
      <w:r>
        <w:rPr>
          <w:rFonts w:ascii="Times New Roman" w:hAnsi="Times New Roman"/>
          <w:b w:val="false"/>
          <w:i w:val="false"/>
          <w:color w:val="000000"/>
          <w:sz w:val="22"/>
        </w:rPr>
        <w:t>All crisis response staff shall meet the qualifications described in this rule. Additional staff requirements are described in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Qualified crisis response staff provide crisis response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 qualifications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mental health professional as defined in Iowa Code section </w:t>
      </w:r>
      <w:hyperlink r:id="rId66">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with 30 semester hours or equivalent in a human services field (including, but not limited to, psychology, social work, nursing, education) and a minimum of one year of experience in behavioral or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officer with a minimum of two years of experience in the law enforcement officer’s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emergency medical technician (EMT) with a minimum of two years of experience in the EMT’s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peer support specialist with a minimum of one year of experience in behavioral or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family support peer specialist with a minimum of one year of experience in behavioral or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registered nurse with a minimum of one year of experience in behavioral or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bachelor’s degree in a non-human services-related field, associate’s degree, or high school diploma (or equivalency) with a minimum of two years of experience in behavioral or mental health services, and 30 hours of crisis and mental health in-service training (in addition to the required 30 hours of department-approved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in staff records to verify satisfactory completion of department-approved training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30 hours of department-approved crisis intervention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posttraining assessment of competency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 xml:space="preserve">; </w:t>
      </w:r>
      <w:r>
        <w:rPr>
          <w:rFonts w:ascii="Times New Roman" w:hAnsi="Times New Roman"/>
          <w:b/>
          <w:i w:val="false"/>
          <w:color w:val="000000"/>
          <w:sz w:val="16"/>
        </w:rPr>
        <w:t>ARC 3057C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441—24.25</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24.25(1)</w:t>
      </w:r>
      <w:r>
        <w:rPr>
          <w:rFonts w:ascii="Times New Roman" w:hAnsi="Times New Roman"/>
          <w:b w:val="false"/>
          <w:i w:val="false"/>
          <w:color w:val="000000"/>
          <w:sz w:val="22"/>
        </w:rPr>
        <w:t> </w:t>
      </w:r>
      <w:r>
        <w:rPr>
          <w:rFonts w:ascii="Times New Roman" w:hAnsi="Times New Roman"/>
          <w:b w:val="false"/>
          <w:i/>
          <w:color w:val="000000"/>
          <w:sz w:val="22"/>
        </w:rPr>
        <w:t xml:space="preserve">Standard for eligibility. </w:t>
      </w:r>
      <w:r>
        <w:rPr>
          <w:rFonts w:ascii="Times New Roman" w:hAnsi="Times New Roman"/>
          <w:b w:val="false"/>
          <w:i w:val="false"/>
          <w:color w:val="000000"/>
          <w:sz w:val="22"/>
        </w:rPr>
        <w:t>An eligible recipient is an individual experiencing a mental health crisis or emergency where a mental health crisis screening is needed to determine the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legal status. </w:t>
      </w:r>
      <w:r>
        <w:rPr>
          <w:rFonts w:ascii="Times New Roman" w:hAnsi="Times New Roman"/>
          <w:b w:val="false"/>
          <w:i w:val="false"/>
          <w:color w:val="000000"/>
          <w:sz w:val="22"/>
        </w:rPr>
        <w:t xml:space="preserve">Standards in subrule </w:t>
      </w:r>
      <w:hyperlink r:id="rId67">
        <w:r>
          <w:rPr>
            <w:rStyle w:val="Hyperlink"/>
            <w:rFonts w:ascii="Times New Roman" w:hAnsi="Times New Roman"/>
            <w:b w:val="false"/>
            <w:i w:val="false"/>
            <w:color w:val="000000"/>
            <w:sz w:val="22"/>
          </w:rPr>
          <w:t>24.4(6)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24.25(3)</w:t>
      </w:r>
      <w:r>
        <w:rPr>
          <w:rFonts w:ascii="Times New Roman" w:hAnsi="Times New Roman"/>
          <w:b w:val="false"/>
          <w:i w:val="false"/>
          <w:color w:val="000000"/>
          <w:sz w:val="22"/>
        </w:rPr>
        <w:t> </w:t>
      </w:r>
      <w:r>
        <w:rPr>
          <w:rFonts w:ascii="Times New Roman" w:hAnsi="Times New Roman"/>
          <w:b w:val="false"/>
          <w:i/>
          <w:color w:val="000000"/>
          <w:sz w:val="22"/>
        </w:rPr>
        <w:t xml:space="preserve">Service systems. </w:t>
      </w:r>
      <w:r>
        <w:rPr>
          <w:rFonts w:ascii="Times New Roman" w:hAnsi="Times New Roman"/>
          <w:b w:val="false"/>
          <w:i w:val="false"/>
          <w:color w:val="000000"/>
          <w:sz w:val="22"/>
        </w:rPr>
        <w:t xml:space="preserve">Standards in subparagraphs </w:t>
      </w:r>
      <w:hyperlink r:id="rId68">
        <w:r>
          <w:rPr>
            <w:rStyle w:val="Hyperlink"/>
            <w:rFonts w:ascii="Times New Roman" w:hAnsi="Times New Roman"/>
            <w:b w:val="false"/>
            <w:i w:val="false"/>
            <w:color w:val="000000"/>
            <w:sz w:val="22"/>
          </w:rPr>
          <w:t>24.4(7)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(3)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24.25(4)</w:t>
      </w:r>
      <w:r>
        <w:rPr>
          <w:rFonts w:ascii="Times New Roman" w:hAnsi="Times New Roman"/>
          <w:b w:val="false"/>
          <w:i w:val="false"/>
          <w:color w:val="000000"/>
          <w:sz w:val="22"/>
        </w:rPr>
        <w:t> </w:t>
      </w:r>
      <w:r>
        <w:rPr>
          <w:rFonts w:ascii="Times New Roman" w:hAnsi="Times New Roman"/>
          <w:b w:val="false"/>
          <w:i/>
          <w:color w:val="000000"/>
          <w:sz w:val="22"/>
        </w:rPr>
        <w:t xml:space="preserve">Respect for individual rights. </w:t>
      </w:r>
      <w:r>
        <w:rPr>
          <w:rFonts w:ascii="Times New Roman" w:hAnsi="Times New Roman"/>
          <w:b w:val="false"/>
          <w:i w:val="false"/>
          <w:color w:val="000000"/>
          <w:sz w:val="22"/>
        </w:rPr>
        <w:t xml:space="preserve">Standards in subrule </w:t>
      </w:r>
      <w:hyperlink r:id="rId69">
        <w:r>
          <w:rPr>
            <w:rStyle w:val="Hyperlink"/>
            <w:rFonts w:ascii="Times New Roman" w:hAnsi="Times New Roman"/>
            <w:b w:val="false"/>
            <w:i w:val="false"/>
            <w:color w:val="000000"/>
            <w:sz w:val="22"/>
          </w:rPr>
          <w:t>24.4(8)</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441—24.26</w:t>
      </w:r>
      <w:r>
        <w:rPr>
          <w:rFonts w:ascii="Times New Roman" w:hAnsi="Times New Roman"/>
          <w:b/>
          <w:i w:val="false"/>
          <w:color w:val="000000"/>
          <w:sz w:val="22"/>
        </w:rPr>
        <w:t xml:space="preserve">(225C) </w:t>
      </w:r>
      <w:r>
        <w:rPr>
          <w:rFonts w:ascii="Times New Roman" w:hAnsi="Times New Roman"/>
          <w:b/>
          <w:i w:val="false"/>
          <w:color w:val="000000"/>
          <w:sz w:val="22"/>
        </w:rPr>
        <w:t xml:space="preserve">Accreditation. </w:t>
      </w:r>
      <w:r>
        <w:rPr>
          <w:rFonts w:ascii="Times New Roman" w:hAnsi="Times New Roman"/>
          <w:b w:val="false"/>
          <w:i w:val="false"/>
          <w:color w:val="000000"/>
          <w:sz w:val="22"/>
        </w:rPr>
        <w:t xml:space="preserve">The administrator for the division of mental health and disability services shall determine whether to grant, deny or revoke the accreditation of the centers and services as determined in Iowa Code section </w:t>
      </w:r>
      <w:hyperlink r:id="rId70">
        <w:r>
          <w:rPr>
            <w:rStyle w:val="Hyperlink"/>
            <w:rFonts w:ascii="Times New Roman" w:hAnsi="Times New Roman"/>
            <w:b w:val="false"/>
            <w:i w:val="false"/>
            <w:color w:val="000000"/>
            <w:sz w:val="22"/>
          </w:rPr>
          <w:t>225C.6(1)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meet the standards of subrule </w:t>
      </w:r>
      <w:hyperlink r:id="rId71">
        <w:r>
          <w:rPr>
            <w:rStyle w:val="Hyperlink"/>
            <w:rFonts w:ascii="Times New Roman" w:hAnsi="Times New Roman"/>
            <w:b w:val="false"/>
            <w:i w:val="false"/>
            <w:color w:val="000000"/>
            <w:sz w:val="22"/>
          </w:rPr>
          <w:t>24.5(1)</w:t>
        </w:r>
      </w:hyperlink>
      <w:r>
        <w:rPr>
          <w:rFonts w:ascii="Times New Roman" w:hAnsi="Times New Roman"/>
          <w:b w:val="false"/>
          <w:i w:val="false"/>
          <w:color w:val="000000"/>
          <w:sz w:val="22"/>
        </w:rPr>
        <w:t>, with the addition of crisis response service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meet the standards in subrules </w:t>
      </w:r>
      <w:hyperlink r:id="rId72">
        <w:r>
          <w:rPr>
            <w:rStyle w:val="Hyperlink"/>
            <w:rFonts w:ascii="Times New Roman" w:hAnsi="Times New Roman"/>
            <w:b w:val="false"/>
            <w:i w:val="false"/>
            <w:color w:val="000000"/>
            <w:sz w:val="22"/>
          </w:rPr>
          <w:t>24.5(2)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24.26(3)</w:t>
      </w:r>
      <w:r>
        <w:rPr>
          <w:rFonts w:ascii="Times New Roman" w:hAnsi="Times New Roman"/>
          <w:b w:val="false"/>
          <w:i w:val="false"/>
          <w:color w:val="000000"/>
          <w:sz w:val="22"/>
        </w:rPr>
        <w:t> </w:t>
      </w:r>
      <w:r>
        <w:rPr>
          <w:rFonts w:ascii="Times New Roman" w:hAnsi="Times New Roman"/>
          <w:b w:val="false"/>
          <w:i w:val="false"/>
          <w:color w:val="000000"/>
          <w:sz w:val="22"/>
        </w:rPr>
        <w:t>Performance outcome determinations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Quality assurance staff shall determine a performance compliance level based on the number of indicators found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 indicators, if 25 percent or more of the files reviewed do not comply with the requirements for a performance indicator, that indicator is considered out of compliance and corrective action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Corrective action is required when any indicator under policies and procedures or activities is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overall rating, the performance rating for policies and procedures shall count as 15 percent of the total, activities as 15 percent of the total, and services as 70 percent of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of the three indicators for policies and procedures has a value of </w:t>
      </w:r>
      <w:hyperlink r:id="rId74">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out of a possible score of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 the 34 indicators for activities has a value of .44 out of a possible score of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service has a separate weighting according to the total number of indicators applicable for that service, with a possible score of 70,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assurance staff shall determine a separate score for each service to be accredited. When an organization offers more than one service under this chapter, there shall be one accreditation award for all the services based upon the lowest score of the services surveyed.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18"/>
        <w:gridCol w:w="3596"/>
        <w:gridCol w:w="3475"/>
      </w:tblGrid>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Service</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Number of Indicators</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Value of Each Indicator</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24-hour crisis response</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19</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3.9</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evaluation</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3.5</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24-hour crisis line</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23</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3.0</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Warm line</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20</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3.5</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Mobile response</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18</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3.9</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23-hour observation and holding</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44</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1.6</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community-based</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39</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1.8</w:t>
            </w:r>
          </w:p>
        </w:tc>
      </w:tr>
      <w:tr>
        <w:trPr>
          <w:trHeight w:val="225" w:hRule="atLeast"/>
        </w:trPr>
        <w:tc>
          <w:tcPr>
            <w:tcW w:w="4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residential</w:t>
            </w:r>
          </w:p>
        </w:tc>
        <w:tc>
          <w:tcPr>
            <w:tcW w:w="3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50</w:t>
            </w:r>
          </w:p>
        </w:tc>
        <w:tc>
          <w:tcPr>
            <w:tcW w:w="347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meet the standards in subrules </w:t>
      </w:r>
      <w:hyperlink r:id="rId75">
        <w:r>
          <w:rPr>
            <w:rStyle w:val="Hyperlink"/>
            <w:rFonts w:ascii="Times New Roman" w:hAnsi="Times New Roman"/>
            <w:b w:val="false"/>
            <w:i w:val="false"/>
            <w:color w:val="000000"/>
            <w:sz w:val="22"/>
          </w:rPr>
          <w:t>24.5(5)</w:t>
        </w:r>
      </w:hyperlink>
      <w:r>
        <w:rPr>
          <w:rFonts w:ascii="Times New Roman" w:hAnsi="Times New Roman"/>
          <w:b w:val="false"/>
          <w:i w:val="false"/>
          <w:color w:val="000000"/>
          <w:sz w:val="22"/>
        </w:rPr>
        <w:t xml:space="preserve"> to </w:t>
      </w:r>
      <w:hyperlink r:id="rId76">
        <w:r>
          <w:rPr>
            <w:rStyle w:val="Hyperlink"/>
            <w:rFonts w:ascii="Times New Roman" w:hAnsi="Times New Roman"/>
            <w:b w:val="false"/>
            <w:i w:val="false"/>
            <w:color w:val="000000"/>
            <w:sz w:val="22"/>
          </w:rPr>
          <w:t>24.5(7)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441—24.27</w:t>
      </w:r>
      <w:r>
        <w:rPr>
          <w:rFonts w:ascii="Times New Roman" w:hAnsi="Times New Roman"/>
          <w:b/>
          <w:i w:val="false"/>
          <w:color w:val="000000"/>
          <w:sz w:val="22"/>
        </w:rPr>
        <w:t xml:space="preserve">(225C) </w:t>
      </w:r>
      <w:r>
        <w:rPr>
          <w:rFonts w:ascii="Times New Roman" w:hAnsi="Times New Roman"/>
          <w:b/>
          <w:i w:val="false"/>
          <w:color w:val="000000"/>
          <w:sz w:val="22"/>
        </w:rPr>
        <w:t xml:space="preserve">Deemed status. </w:t>
      </w:r>
      <w:r>
        <w:rPr>
          <w:rFonts w:ascii="Times New Roman" w:hAnsi="Times New Roman"/>
          <w:b w:val="false"/>
          <w:i w:val="false"/>
          <w:color w:val="000000"/>
          <w:sz w:val="22"/>
        </w:rPr>
        <w:t xml:space="preserve">The department shall grant deemed status to organizations accredited by a recognized national, not-for-profit, accrediting body when the department determines the accreditation is for similar services. The organization shall fulfill the standards described in subrules </w:t>
      </w:r>
      <w:hyperlink r:id="rId77">
        <w:r>
          <w:rPr>
            <w:rStyle w:val="Hyperlink"/>
            <w:rFonts w:ascii="Times New Roman" w:hAnsi="Times New Roman"/>
            <w:b w:val="false"/>
            <w:i w:val="false"/>
            <w:color w:val="000000"/>
            <w:sz w:val="22"/>
          </w:rPr>
          <w:t>24.6(1)</w:t>
        </w:r>
      </w:hyperlink>
      <w:r>
        <w:rPr>
          <w:rFonts w:ascii="Times New Roman" w:hAnsi="Times New Roman"/>
          <w:b w:val="false"/>
          <w:i w:val="false"/>
          <w:color w:val="000000"/>
          <w:sz w:val="22"/>
        </w:rPr>
        <w:t xml:space="preserve"> to </w:t>
      </w:r>
      <w:hyperlink r:id="rId78">
        <w:r>
          <w:rPr>
            <w:rStyle w:val="Hyperlink"/>
            <w:rFonts w:ascii="Times New Roman" w:hAnsi="Times New Roman"/>
            <w:b w:val="false"/>
            <w:i w:val="false"/>
            <w:color w:val="000000"/>
            <w:sz w:val="22"/>
          </w:rPr>
          <w:t>24.6(6)</w:t>
        </w:r>
      </w:hyperlink>
      <w:r>
        <w:rPr>
          <w:rFonts w:ascii="Times New Roman" w:hAnsi="Times New Roman"/>
          <w:b w:val="false"/>
          <w:i w:val="false"/>
          <w:color w:val="000000"/>
          <w:sz w:val="22"/>
        </w:rPr>
        <w:t>. The national accrediting bodies currently recognized as meeting division criteria for possible deeming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Joint Commission on Accreditation of Healthcare Organizations (JCAHO).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 on Accreditation of Rehabilitation Facilities (CARF).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Council on Quality and Leadership in Supports for People with Disabilities (The Council).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Council on Accreditation of Services for Families and Children (COA).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American Association of Suicidology (AAS).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Contact USA.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441—24.28</w:t>
      </w:r>
      <w:r>
        <w:rPr>
          <w:rFonts w:ascii="Times New Roman" w:hAnsi="Times New Roman"/>
          <w:b/>
          <w:i w:val="false"/>
          <w:color w:val="000000"/>
          <w:sz w:val="22"/>
        </w:rPr>
        <w:t xml:space="preserve">(225C) </w:t>
      </w:r>
      <w:r>
        <w:rPr>
          <w:rFonts w:ascii="Times New Roman" w:hAnsi="Times New Roman"/>
          <w:b/>
          <w:i w:val="false"/>
          <w:color w:val="000000"/>
          <w:sz w:val="22"/>
        </w:rPr>
        <w:t xml:space="preserve">Complaint process. </w:t>
      </w:r>
      <w:r>
        <w:rPr>
          <w:rFonts w:ascii="Times New Roman" w:hAnsi="Times New Roman"/>
          <w:b w:val="false"/>
          <w:i w:val="false"/>
          <w:color w:val="000000"/>
          <w:sz w:val="22"/>
        </w:rPr>
        <w:t xml:space="preserve">The department shall receive and record complaints by individuals using services, employees, any interested people, and the public relating to or alleging violations of applicable requirements of the Iowa Code or administrative rules in accordance with the standards described in rule </w:t>
      </w:r>
      <w:hyperlink r:id="rId79">
        <w:r>
          <w:rPr>
            <w:rStyle w:val="Hyperlink"/>
            <w:rFonts w:ascii="Times New Roman" w:hAnsi="Times New Roman"/>
            <w:b w:val="false"/>
            <w:i w:val="false"/>
            <w:color w:val="000000"/>
            <w:sz w:val="22"/>
          </w:rPr>
          <w:t>441—24.7</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441—24.29</w:t>
      </w:r>
      <w:r>
        <w:rPr>
          <w:rFonts w:ascii="Times New Roman" w:hAnsi="Times New Roman"/>
          <w:b/>
          <w:i w:val="false"/>
          <w:color w:val="000000"/>
          <w:sz w:val="22"/>
        </w:rPr>
        <w:t xml:space="preserve">(225C)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The department shall receive appeals according to the process in rule </w:t>
      </w:r>
      <w:hyperlink r:id="rId80">
        <w:r>
          <w:rPr>
            <w:rStyle w:val="Hyperlink"/>
            <w:rFonts w:ascii="Times New Roman" w:hAnsi="Times New Roman"/>
            <w:b w:val="false"/>
            <w:i w:val="false"/>
            <w:color w:val="000000"/>
            <w:sz w:val="22"/>
          </w:rPr>
          <w:t>441—24.8</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441—24.30</w:t>
      </w:r>
      <w:r>
        <w:rPr>
          <w:rFonts w:ascii="Times New Roman" w:hAnsi="Times New Roman"/>
          <w:b/>
          <w:i w:val="false"/>
          <w:color w:val="000000"/>
          <w:sz w:val="22"/>
        </w:rPr>
        <w:t xml:space="preserve">(225C) </w:t>
      </w:r>
      <w:r>
        <w:rPr>
          <w:rFonts w:ascii="Times New Roman" w:hAnsi="Times New Roman"/>
          <w:b/>
          <w:i w:val="false"/>
          <w:color w:val="000000"/>
          <w:sz w:val="22"/>
        </w:rPr>
        <w:t xml:space="preserve">Exceptions to policy. </w:t>
      </w:r>
      <w:r>
        <w:rPr>
          <w:rFonts w:ascii="Times New Roman" w:hAnsi="Times New Roman"/>
          <w:b w:val="false"/>
          <w:i w:val="false"/>
          <w:color w:val="000000"/>
          <w:sz w:val="22"/>
        </w:rPr>
        <w:t xml:space="preserve">The department shall receive exceptions to policy meeting the standards in rule </w:t>
      </w:r>
      <w:hyperlink r:id="rId81">
        <w:r>
          <w:rPr>
            <w:rStyle w:val="Hyperlink"/>
            <w:rFonts w:ascii="Times New Roman" w:hAnsi="Times New Roman"/>
            <w:b w:val="false"/>
            <w:i w:val="false"/>
            <w:color w:val="000000"/>
            <w:sz w:val="22"/>
          </w:rPr>
          <w:t>441—24.9</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441—24.31</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for individual crisis response services. </w:t>
      </w:r>
      <w:r>
        <w:rPr>
          <w:rFonts w:ascii="Times New Roman" w:hAnsi="Times New Roman"/>
          <w:b w:val="false"/>
          <w:i w:val="false"/>
          <w:color w:val="000000"/>
          <w:sz w:val="22"/>
        </w:rPr>
        <w:t>Crisis response services provided to children and youth include coordination with parents, guardians, family members, natural supports, and service providers and with other systems such as education, juvenile justice and child welfare.</w:t>
      </w:r>
    </w:p>
    <w:p>
      <w:pPr>
        <w:spacing w:before="0" w:after="0"/>
        <w:ind w:left="120"/>
        <w:jc w:val="both"/>
      </w:pPr>
      <w:r>
        <w:rPr>
          <w:rFonts w:ascii="Times New Roman" w:hAnsi="Times New Roman"/>
          <w:b w:val="false"/>
          <w:i w:val="false"/>
          <w:color w:val="000000"/>
          <w:sz w:val="22"/>
        </w:rPr>
        <w:t>Crisis response services for individuals who have co-occurring or multi-occurring diagnoses focus on the integration and coordination of treatment services, and supports necessary to stabilize the individual, without regard to which condition is primary. Crisis response services are not to be denied due to the presence of a co-occurring substance abuse condition or developmental or neurodevelopmental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441—24.32</w:t>
      </w:r>
      <w:r>
        <w:rPr>
          <w:rFonts w:ascii="Times New Roman" w:hAnsi="Times New Roman"/>
          <w:b/>
          <w:i w:val="false"/>
          <w:color w:val="000000"/>
          <w:sz w:val="22"/>
        </w:rPr>
        <w:t xml:space="preserve">(225C) </w:t>
      </w:r>
      <w:r>
        <w:rPr>
          <w:rFonts w:ascii="Times New Roman" w:hAnsi="Times New Roman"/>
          <w:b/>
          <w:i w:val="false"/>
          <w:color w:val="000000"/>
          <w:sz w:val="22"/>
        </w:rPr>
        <w:t xml:space="preserve">Crisis evaluation. </w:t>
      </w:r>
      <w:r>
        <w:rPr>
          <w:rFonts w:ascii="Times New Roman" w:hAnsi="Times New Roman"/>
          <w:b w:val="false"/>
          <w:i w:val="false"/>
          <w:color w:val="000000"/>
          <w:sz w:val="22"/>
        </w:rPr>
        <w:t>Crisis evaluation consists of two components: crisis screening and crisis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24.32(1)</w:t>
      </w:r>
      <w:r>
        <w:rPr>
          <w:rFonts w:ascii="Times New Roman" w:hAnsi="Times New Roman"/>
          <w:b w:val="false"/>
          <w:i w:val="false"/>
          <w:color w:val="000000"/>
          <w:sz w:val="22"/>
        </w:rPr>
        <w:t> </w:t>
      </w:r>
      <w:r>
        <w:rPr>
          <w:rFonts w:ascii="Times New Roman" w:hAnsi="Times New Roman"/>
          <w:b w:val="false"/>
          <w:i/>
          <w:color w:val="000000"/>
          <w:sz w:val="22"/>
        </w:rPr>
        <w:t xml:space="preserve">Crisis screening. </w:t>
      </w:r>
      <w:r>
        <w:rPr>
          <w:rFonts w:ascii="Times New Roman" w:hAnsi="Times New Roman"/>
          <w:b w:val="false"/>
          <w:i w:val="false"/>
          <w:color w:val="000000"/>
          <w:sz w:val="22"/>
        </w:rPr>
        <w:t>The purpose of crisis screening is to determine the presenting problem and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Crisis screening includes a brief assessment of suicide lethality, substance use, alcohol use and safety needs. Crisis screening can be provided through contact with crisis response staff and through communication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Crisis response staff are trained in crisis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uniform process for crisis screening and referrals is outlined in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screening records are kept in individual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24.32(2)</w:t>
      </w:r>
      <w:r>
        <w:rPr>
          <w:rFonts w:ascii="Times New Roman" w:hAnsi="Times New Roman"/>
          <w:b w:val="false"/>
          <w:i w:val="false"/>
          <w:color w:val="000000"/>
          <w:sz w:val="22"/>
        </w:rPr>
        <w:t> </w:t>
      </w:r>
      <w:r>
        <w:rPr>
          <w:rFonts w:ascii="Times New Roman" w:hAnsi="Times New Roman"/>
          <w:b w:val="false"/>
          <w:i/>
          <w:color w:val="000000"/>
          <w:sz w:val="22"/>
        </w:rPr>
        <w:t xml:space="preserve">Crisis assessment. </w:t>
      </w:r>
      <w:r>
        <w:rPr>
          <w:rFonts w:ascii="Times New Roman" w:hAnsi="Times New Roman"/>
          <w:b w:val="false"/>
          <w:i w:val="false"/>
          <w:color w:val="000000"/>
          <w:sz w:val="22"/>
        </w:rPr>
        <w:t>The purpose of crisis assessment is to determine the precipitating factors of the crisis, the individual and family functioning needs, and the diagnosis if present and to initiate a stabilization plan and discharge plan. A licensed mental health professional conducts a crisis assessment within 24 hours of an individual’s admission to a crisis response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requirements. </w:t>
      </w:r>
      <w:r>
        <w:rPr>
          <w:rFonts w:ascii="Times New Roman" w:hAnsi="Times New Roman"/>
          <w:b w:val="false"/>
          <w:i w:val="false"/>
          <w:color w:val="000000"/>
          <w:sz w:val="22"/>
        </w:rPr>
        <w:t>The crisis assessment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Active symptoms of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Alcohol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Coping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of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Impulsivity or absence of protective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Intensity and duration of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Lethality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Level of external support available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Crisis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Stress indicators and level of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Substance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receive comprehensive assessment by a mental health professional to determine the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describe a uniform process for assessment, referrals and record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health professionals as defined in Iowa Code section </w:t>
      </w:r>
      <w:hyperlink r:id="rId82">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xml:space="preserve"> will complete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collected is sufficient to determine the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results are explained to the individual and family or guardian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individual’s strengths, preferences and needs are included in an action plan. The family or guardian may receive a copy of an action plan with a signed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441—24.33</w:t>
      </w:r>
      <w:r>
        <w:rPr>
          <w:rFonts w:ascii="Times New Roman" w:hAnsi="Times New Roman"/>
          <w:b/>
          <w:i w:val="false"/>
          <w:color w:val="000000"/>
          <w:sz w:val="22"/>
        </w:rPr>
        <w:t xml:space="preserve">(225C) </w:t>
      </w:r>
      <w:r>
        <w:rPr>
          <w:rFonts w:ascii="Times New Roman" w:hAnsi="Times New Roman"/>
          <w:b/>
          <w:i w:val="false"/>
          <w:color w:val="000000"/>
          <w:sz w:val="22"/>
        </w:rPr>
        <w:t xml:space="preserve">Twenty-four-hour crisis response. </w:t>
      </w:r>
      <w:r>
        <w:rPr>
          <w:rFonts w:ascii="Times New Roman" w:hAnsi="Times New Roman"/>
          <w:b w:val="false"/>
          <w:i w:val="false"/>
          <w:color w:val="000000"/>
          <w:sz w:val="22"/>
        </w:rPr>
        <w:t>The purpose of 24-hour crisis response is to provide access to crisis screening and assessment to de-escalate and stabilize the crisis. When the assessment indicates, a stabilization plan is developed to support the individual’s return to a prior level of functioning. Twenty-four-hour crisis response staff link the individual to appropriate services. Crisis response staff provide service to individuals of any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Individuals in crisis have the ability to access crisis response services, including, but not limited to, crisis screening, crisis assessment and stabilization in the least restrictive level of care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how to access 24-hour crisis response is publicized to facilitate availability of services to individuals using the service, family members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accessing the service receive crisis screening and crisis response services from appropriate crisis response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screening is available and accessible face-to-face, using telephone or Web-based options, 24 hours a day,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mental health professional is available for crisis assessment and consultation 24 hours a day, 365 days a year. The mental health professional has access to a qualified prescriber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staffing pattern and schedule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integration and coordination of care is documented in the individual’s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discharge, action and follow-up plans are documented in the individual’s record, and copies of the plans are provided to the individual. The family or guardian may receive a copy with a signed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441—24.34</w:t>
      </w:r>
      <w:r>
        <w:rPr>
          <w:rFonts w:ascii="Times New Roman" w:hAnsi="Times New Roman"/>
          <w:b/>
          <w:i w:val="false"/>
          <w:color w:val="000000"/>
          <w:sz w:val="22"/>
        </w:rPr>
        <w:t xml:space="preserve">(225C) </w:t>
      </w:r>
      <w:r>
        <w:rPr>
          <w:rFonts w:ascii="Times New Roman" w:hAnsi="Times New Roman"/>
          <w:b/>
          <w:i w:val="false"/>
          <w:color w:val="000000"/>
          <w:sz w:val="22"/>
        </w:rPr>
        <w:t xml:space="preserve">Twenty-four-hour crisis line. </w:t>
      </w:r>
      <w:r>
        <w:rPr>
          <w:rFonts w:ascii="Times New Roman" w:hAnsi="Times New Roman"/>
          <w:b w:val="false"/>
          <w:i w:val="false"/>
          <w:color w:val="000000"/>
          <w:sz w:val="22"/>
        </w:rPr>
        <w:t xml:space="preserve">A 24-hour crisis line provides counseling, crisis service coordination, information and referral, linkage to services and crisis screening. Crisis line staff are qualified to provide crisis stabilization services pursuant to subrule </w:t>
      </w:r>
      <w:hyperlink r:id="rId83">
        <w:r>
          <w:rPr>
            <w:rStyle w:val="Hyperlink"/>
            <w:rFonts w:ascii="Times New Roman" w:hAnsi="Times New Roman"/>
            <w:b w:val="false"/>
            <w:i w:val="false"/>
            <w:color w:val="000000"/>
            <w:sz w:val="22"/>
          </w:rPr>
          <w:t>24.24(2)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Crisis screening, counseling, crisis service coordination and referrals are provided to individuals in crisis.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crisis line service is available 24 hours a day,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Policies are in place regarding how the crisis line is answered live, when to utilize the hold feature, the use of queue systems and triage of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govern the use of technology, including telephonic and Internet capability in the service delivery structure, quality assurance, data integrity and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are in place for ensuring the quality of the crisis line, including monitoring calls and corrective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crisis line is an integrated component of the crisis response service system; the crisis line is answered in an organization setting by trained crisis response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Policies define collaborative efforts and triage procedure between the mobile outreach teams, law enforcement and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Policies are in place to ensure follow-up contacts are provided within 24 hours of a crisis call for all risk cases. The crisis line integrates follow-up into all crisis service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crisis line utilizes standardized call center software with the capability to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and time of answered call, topic of call, crisis screening provided, referral made, hold time, and demographics of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contacts, including terminated and lost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describe a uniform process of crisis screening and training for crisis line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Training includes crisis screening tools, lethality assessment, crisis counseling, cultural competence, crisis service coordination, and information and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Twenty-four-hour access to a mental health professional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441—24.35</w:t>
      </w:r>
      <w:r>
        <w:rPr>
          <w:rFonts w:ascii="Times New Roman" w:hAnsi="Times New Roman"/>
          <w:b/>
          <w:i w:val="false"/>
          <w:color w:val="000000"/>
          <w:sz w:val="22"/>
        </w:rPr>
        <w:t xml:space="preserve">(225C) </w:t>
      </w:r>
      <w:r>
        <w:rPr>
          <w:rFonts w:ascii="Times New Roman" w:hAnsi="Times New Roman"/>
          <w:b/>
          <w:i w:val="false"/>
          <w:color w:val="000000"/>
          <w:sz w:val="22"/>
        </w:rPr>
        <w:t xml:space="preserve">Warm line. </w:t>
      </w:r>
      <w:r>
        <w:rPr>
          <w:rFonts w:ascii="Times New Roman" w:hAnsi="Times New Roman"/>
          <w:b w:val="false"/>
          <w:i w:val="false"/>
          <w:color w:val="000000"/>
          <w:sz w:val="22"/>
        </w:rPr>
        <w:t>A peer-operated warm line is a service individuals can access to talk with someone with lived experience with mental, behavioral health and trauma issues. The line provides a resource for individuals experiencing emotional distress.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warm line provides nonjudgmental listening, nondirective assistance, information, referral, and triage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are in place regarding how the warm line is answered live, placing callers on hold and when appropriate to use a queue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are in place for standard collection of demographics, the presented reason for calling and outcome of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are in place for crisis screening and when to triage a caller to a higher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Data collection includes call answer times, duration of calls, and number of calls dropped, lost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describe the staffing pattern and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Warm-line staff can receive calls remotely through telephones or computers or within an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Staff qualifications and training for peer support specialists and family support peer specialists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Twenty-four-hour access to a mental health professional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441—24.36</w:t>
      </w:r>
      <w:r>
        <w:rPr>
          <w:rFonts w:ascii="Times New Roman" w:hAnsi="Times New Roman"/>
          <w:b/>
          <w:i w:val="false"/>
          <w:color w:val="000000"/>
          <w:sz w:val="22"/>
        </w:rPr>
        <w:t xml:space="preserve">(225C) </w:t>
      </w:r>
      <w:r>
        <w:rPr>
          <w:rFonts w:ascii="Times New Roman" w:hAnsi="Times New Roman"/>
          <w:b/>
          <w:i w:val="false"/>
          <w:color w:val="000000"/>
          <w:sz w:val="22"/>
        </w:rPr>
        <w:t xml:space="preserve">Mobile response. </w:t>
      </w:r>
      <w:r>
        <w:rPr>
          <w:rFonts w:ascii="Times New Roman" w:hAnsi="Times New Roman"/>
          <w:b w:val="false"/>
          <w:i w:val="false"/>
          <w:color w:val="000000"/>
          <w:sz w:val="22"/>
        </w:rPr>
        <w:t xml:space="preserve">Crisis response staff provide on-site, in-person intervention for individuals experiencing a mental health crisis. The mobile response staff provide crisis response services in the individual’s home or at locations in the community. Staff work in pairs to ensure staff safety and the safety of the individual served. A single staff member may respond if another person who meets one of the criteria listed in paragraph </w:t>
      </w:r>
      <w:hyperlink r:id="rId84">
        <w:r>
          <w:rPr>
            <w:rStyle w:val="Hyperlink"/>
            <w:rFonts w:ascii="Times New Roman" w:hAnsi="Times New Roman"/>
            <w:b w:val="false"/>
            <w:i w:val="false"/>
            <w:color w:val="000000"/>
            <w:sz w:val="22"/>
          </w:rPr>
          <w:t>24.24(2)</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available on site. Twenty-four-hour access to a mental health professional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Mobile response services are delivered to individuals in crisis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Mobile response staff are dispatched immediately after crisis screening has determined the appropriate level of care. If the mobile response staff already are responding to another call, staff explain to the caller that there may be a delay in receiving a mobile response and offer an alternative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Mobile response staff have face-to-face contact with the individual in crisis within 60 minutes from dispatch. If the mobile response staff are responding to another request, there may be a delay in receiving mobile response and an alternative response should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is collected to track and trend response time from initial dispatch, the time to respond to dispatch when a team is already in response; diversion from or admission to hospitals, correctional facilities and other crisis response services. The data for each fiscal year is reported to the department within 60 days of the close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action plan is developed, a copy is sent within 24 hours, with the individual’s signed consent, to service providers, the individual and others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is documented in the individual’s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Triage and referral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Reduction in the level of risk present in the crisis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Coordination with other mental health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Names and affiliation of all individuals participating in the mobile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follow-up appointment with the individual’s preferred provider will be made, and mobile response staff will follow up with the individual and document contact or attempt to contact on a periodic basis until the appointment takes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441—24.37</w:t>
      </w:r>
      <w:r>
        <w:rPr>
          <w:rFonts w:ascii="Times New Roman" w:hAnsi="Times New Roman"/>
          <w:b/>
          <w:i w:val="false"/>
          <w:color w:val="000000"/>
          <w:sz w:val="22"/>
        </w:rPr>
        <w:t xml:space="preserve">(225C) </w:t>
      </w:r>
      <w:r>
        <w:rPr>
          <w:rFonts w:ascii="Times New Roman" w:hAnsi="Times New Roman"/>
          <w:b/>
          <w:i w:val="false"/>
          <w:color w:val="000000"/>
          <w:sz w:val="22"/>
        </w:rPr>
        <w:t xml:space="preserve">Twenty-three-hour crisis observation and holding. </w:t>
      </w:r>
      <w:r>
        <w:rPr>
          <w:rFonts w:ascii="Times New Roman" w:hAnsi="Times New Roman"/>
          <w:b w:val="false"/>
          <w:i w:val="false"/>
          <w:color w:val="000000"/>
          <w:sz w:val="22"/>
        </w:rPr>
        <w:t>Twenty-three-hour crisis observation and holding services may be a stand-alone service or embedded within a crisis stabilization residential service. Twenty-three-hour crisis observation and holding services are designed for individuals who need short-term crisis intervention in a safe environment less restrictive than hospitalization. This level of service is appropriate for individuals who require protection or when an individual’s ability to cope in the community is severely compromised and it is expected the crisis can be resolved in 23 hours. Twenty-three-hour crisis observation and holding services include, but are not limited to, treatment, medication administration, meeting with extended family or significant others, and referral to appropriate services. Twenty-three-hour crisis observation and holding chairs can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24.37(1)</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The services may be provided if any of the following admission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indications the symptoms can be stabilized and an alternative treatment can be initiated within a 23-hour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presenting crisis cannot be safely evaluated or managed in a less restrictive setting, or no such setting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does not meet inpatient criteria, and it is determined a period of observation assists in the stabilization and prevention of symptom exacerbation.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Further evaluation is necessary to determine the individual’s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an indication of actual or potential danger to self or others as evidenced by a current threat or ideation.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 loss of impulse control leading to life-threatening behavior and other psychiatric symptoms requiring stabilization in a structured, monitored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 is experiencing a crisis demonstrated by an abrupt or substantial change in normal life functioning brought on by a specific cause, sudden event or severe stressor.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24.37(2)</w:t>
      </w:r>
      <w:r>
        <w:rPr>
          <w:rFonts w:ascii="Times New Roman" w:hAnsi="Times New Roman"/>
          <w:b w:val="false"/>
          <w:i w:val="false"/>
          <w:color w:val="000000"/>
          <w:sz w:val="22"/>
        </w:rPr>
        <w:t> </w:t>
      </w:r>
      <w:r>
        <w:rPr>
          <w:rFonts w:ascii="Times New Roman" w:hAnsi="Times New Roman"/>
          <w:b w:val="false"/>
          <w:i/>
          <w:color w:val="000000"/>
          <w:sz w:val="22"/>
        </w:rPr>
        <w:t xml:space="preserve">Staffing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medical director or administrator is responsible for the management and operation of the organization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Registered nurse practitioners and physician assistants have at least two years of mental health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mental health professional is available for consultation 24 hours a day,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mental health professional as defined in Iowa Code section </w:t>
      </w:r>
      <w:hyperlink r:id="rId8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xml:space="preserve"> provides mental health services appropriate to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response staff are on duty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registered nurse is available on site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24.37(3)</w:t>
      </w:r>
      <w:r>
        <w:rPr>
          <w:rFonts w:ascii="Times New Roman" w:hAnsi="Times New Roman"/>
          <w:b w:val="false"/>
          <w:i w:val="false"/>
          <w:color w:val="000000"/>
          <w:sz w:val="22"/>
        </w:rPr>
        <w:t> </w:t>
      </w:r>
      <w:r>
        <w:rPr>
          <w:rFonts w:ascii="Times New Roman" w:hAnsi="Times New Roman"/>
          <w:b w:val="false"/>
          <w:i/>
          <w:color w:val="000000"/>
          <w:sz w:val="22"/>
        </w:rPr>
        <w:t xml:space="preserve">Twenty-three-hour observation and holding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An incident report is created when staff are notified an incident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incident report documents: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individual or individuals who were involved in the incident.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and time of occurrence of the incident.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and signatures of all staff present at the time of the incident.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taken by the staff.</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or follow-up to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is kept in a centralized file and a copy is given to the individual, the mental health and disability services region, and the individual’s parent or guardian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24.37(4)</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treatment summary is provided to the individual and the individual’s treatment team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r>
        <w:rPr>
          <w:rFonts w:ascii="Times New Roman" w:hAnsi="Times New Roman"/>
          <w:b w:val="false"/>
          <w:i w:val="false"/>
          <w:color w:val="000000"/>
          <w:sz w:val="22"/>
        </w:rPr>
        <w:t>The minimum treatment summary requirements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assessment, including challenges and strengths.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and progress of the individual with regard to each identified challenge.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Evaluation of the individual’s mental status to inform ongoing placement and support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Recommendations and arrangements for further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Signature of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Treatment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individual using this service is provided a safe, secure observation and holding service in a location meeting the needs of the individual and in the least restrictive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give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providers, family members and other natural supports as appropriate are contacted within 23 hours of the individual’s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cover medication administration, storage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records include, but are not limited to, a treatment summary and verification of individual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23-hour crisis observation and holding facility is a welcoming and comfortable environment conducive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23-hour crisis observation and holding is primarily used as a diversion from hospital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Communication attempts and contact with the individual’s team will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follow-up appointment with the individual’s preferred provider will be made, and crisis response staff will follow up with the individual and document contact or attempt to contact on a periodic basis until the appointment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There are written policies and procedures of how to document and track discharge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actual number of individuals served within the 23-hour period is documented. Individual treatment records contain reasons why individuals stay beyond the 23-hour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Readmission data and length of time between admissions are tracked for data trend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Policies and procedures address the additional safety standards for 23-hour crisis and observation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compliance is documented regarding state fire marshal rules and fire ordinances and applicable local health, fire, occupancy code,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Based on standards used for public facilities, all food and drink is clean, wholesome, free from spoilage, and stored and served in a manner safe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Doors must not be locked from the inside. The use of door locks is as approved by the fire marshal and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Twenty-three-hour observation and holding services have an emergency preparedness plan to describe the process for an individual to continue receiving services during a disaster including, but not limited to, cases of severe weather or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Policies and procedures address the cleanliness of the 23-hour observation and holding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provide a safe, clean, well-ventilated, properly heated environment in good repair and free from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individual’s resting or sleeping area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sturdily constructed bed or comfortable chair.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sanitized mattress protected with a clean mattress pad, or sanitized chair.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Curtains or blinds are on bedroom windows.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Available clean linen.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Doors or partitions for privacy.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Right to privacy is respected.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Bathrooms include items necessary for personal hygiene and personal privacy.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safe supply of hot and cold running water which is potable.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Clean towels, electric hand dryers or paper towel dispensers, and an available supply of toilet paper and soap.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Natural or mechanical ventilation capable of removing odors.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Tubs or showers have slip-proof surfaces.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Partitions with doors which provide privacy if a bathroom has multiple toilet stools.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Toilets, wash basins, and other plumbing or sanitary facilities are maintained in good operating condition.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Privacy in bathrooms for male and female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Personal rights are acknowledged.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 </w:t>
      </w:r>
      <w:r>
        <w:rPr>
          <w:rFonts w:ascii="Times New Roman" w:hAnsi="Times New Roman"/>
          <w:b w:val="false"/>
          <w:i w:val="false"/>
          <w:color w:val="000000"/>
          <w:sz w:val="22"/>
        </w:rPr>
        <w:t>The following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Areas in which an individual may be alone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Areas for private conversations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Secure space for personal belongings.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clothing is allowed in accordance with organization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Policies and procedures address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preparedness plan is designed to provide effective utilization of available resources during a disaster event including, but not limited to, cases of severe weather or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comply with rule </w:t>
      </w:r>
      <w:hyperlink r:id="rId86">
        <w:r>
          <w:rPr>
            <w:rStyle w:val="Hyperlink"/>
            <w:rFonts w:ascii="Times New Roman" w:hAnsi="Times New Roman"/>
            <w:b w:val="false"/>
            <w:i w:val="false"/>
            <w:color w:val="000000"/>
            <w:sz w:val="22"/>
          </w:rPr>
          <w:t>441—24.39</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are written policies on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Seclusion is not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Mechanical or chemical restraints are not used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smokefree air Act, Iowa Code chapter </w:t>
      </w:r>
      <w:hyperlink r:id="rId8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is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441—24.38</w:t>
      </w:r>
      <w:r>
        <w:rPr>
          <w:rFonts w:ascii="Times New Roman" w:hAnsi="Times New Roman"/>
          <w:b/>
          <w:i w:val="false"/>
          <w:color w:val="000000"/>
          <w:sz w:val="22"/>
        </w:rPr>
        <w:t xml:space="preserve">(225C) </w:t>
      </w:r>
      <w:r>
        <w:rPr>
          <w:rFonts w:ascii="Times New Roman" w:hAnsi="Times New Roman"/>
          <w:b/>
          <w:i w:val="false"/>
          <w:color w:val="000000"/>
          <w:sz w:val="22"/>
        </w:rPr>
        <w:t xml:space="preserve">Crisis stabilization community-based services (CSCBS). </w:t>
      </w:r>
      <w:r>
        <w:rPr>
          <w:rFonts w:ascii="Times New Roman" w:hAnsi="Times New Roman"/>
          <w:b w:val="false"/>
          <w:i w:val="false"/>
          <w:color w:val="000000"/>
          <w:sz w:val="22"/>
        </w:rPr>
        <w:t xml:space="preserve">The goal of CSCBS is to stabilize the individual within the community. CSCBS is designed as a voluntary service for individuals in need of a safe, secure location that is less intensive and restrictive than an inpatient hospital. Individuals receive CSCBS services including, but not limited to, psychiatric services, medication, counseling, referrals, peer support and linkage to ongoing services. The duration for CSCBS is expected to be less than five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determined appropriate for the service by mental health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determined not to need inpatient acute hospital psychiatric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24.38(2)</w:t>
      </w:r>
      <w:r>
        <w:rPr>
          <w:rFonts w:ascii="Times New Roman" w:hAnsi="Times New Roman"/>
          <w:b w:val="false"/>
          <w:i w:val="false"/>
          <w:color w:val="000000"/>
          <w:sz w:val="22"/>
        </w:rPr>
        <w:t> </w:t>
      </w:r>
      <w:r>
        <w:rPr>
          <w:rFonts w:ascii="Times New Roman" w:hAnsi="Times New Roman"/>
          <w:b w:val="false"/>
          <w:i/>
          <w:color w:val="000000"/>
          <w:sz w:val="22"/>
        </w:rPr>
        <w:t xml:space="preserve">Staffing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director or administrator is responsible for the management and operation of the CSCBS.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licensed nurse practitioner, physician assistant, or psychiatrist is available for consultation 24 hours a day,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Mental health professionals with expertise appropriate to the individual’s needs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between the individual and a mental health professional occurs at least one time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services are provided by crisis response staff at a minimum of one hour per day, including, but not limited to, skill building, peer support or family support peer services. The goal of CSCBS is to stabilize the individual within the community. CSCBS is designed for voluntary services for individuals in need of a safe, secure location that is less intensive and restrictive than an inpatient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response staff must be awake and attentive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24.38(3)</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individual using CSCBS is provided safe, secure and structured crisis stabilization services in the least restrictive location meeting the needs of the individual. The CSCBS can be for youth aged 18 and under or adults aged 18 and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24.38(4)</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can provide consent for treatment providers, family members and other natural supports to be contacted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Daily crisis stabilization services include, at minimum, daily contact with a mental health professional and one hour of additional crisis stabilization services from crisis response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numbers of days an individual receives crisis stabilization services are documented. The documentation records specific reasons for the delivery of services beyond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records are maintained to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contact with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services provided including, but not limited to, skill building, peer support or family support peer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 choice is verified including, but not limited to, treatment participation and discharge plan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Readmission data is tracked, including an analysis of data trends looking at effectiveness, and appropriate corrective action taken. The information is documented in the performance improvement system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24.38(5)</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incident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An incident report is filed when staff are notified an incident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incident report documents: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individual involved in the incident.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and time the incident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and signatures of all staff present at the time of the incident.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the staff took to handle the situation.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or follow-up to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is kept in a centralized file and a copy given to the individual, the mental health and disability services region, and the parent or guardian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24.38(6)</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Stabilization plan. </w:t>
      </w:r>
      <w:r>
        <w:rPr>
          <w:rFonts w:ascii="Times New Roman" w:hAnsi="Times New Roman"/>
          <w:b w:val="false"/>
          <w:i w:val="false"/>
          <w:color w:val="000000"/>
          <w:sz w:val="22"/>
        </w:rPr>
        <w:t>The individual in crisis is involved collaboratively in all aspects of crisis stabilization services including, but not limited to, admission, treatment planning, intervention, and discharge. The involvement of family members and others is encouraged.</w:t>
      </w:r>
    </w:p>
    <w:p>
      <w:pPr>
        <w:spacing w:before="0" w:after="0"/>
        <w:ind w:left="120"/>
        <w:jc w:val="both"/>
      </w:pPr>
      <w:r>
        <w:rPr>
          <w:rFonts w:ascii="Times New Roman" w:hAnsi="Times New Roman"/>
          <w:b w:val="false"/>
          <w:i w:val="false"/>
          <w:color w:val="000000"/>
          <w:sz w:val="22"/>
        </w:rPr>
        <w:t>Within 24 hours of an individual’s admission to crisis stabilization services, a written short-term stabilization plan is developed, with the involvement and consent of the individual, and is reviewed frequently to assess the need for the individual’s continued placement in CSCBS. At a minimum, this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discharge, including referrals and linkages to appropriate services and coordination with other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any physical disability and any accommodations necessary to provide the same or equal services and benefits as those afforded nondisabled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input by the individual, including the individual’s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Goal statement. Goals are consistent with the individual’s needs and projected duration of service delivery and include objectives which build on strengths and are stated in terms allowing measurement of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Rights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Names of all other persons participating in the development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Specification of treatment responsibilities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stabilization plan is completed within 24 hours of the individual’s admittance.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records include a written short-term stabilization plan developed with the involvement and consent of the individual within 24 hours of admittance and reviewed frequently to assess the need for continued placement in CSCBS.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records indicate a crisis stabilization plan is completed within the 24-hour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crisis stabilization plans not meeting the criteria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follow-up appointment with the individual’s preferred provider will be made, and crisis response staff will follow up with the individual and document contact or attempt to contact on a periodic basis until the appointment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24.38(7)</w:t>
      </w:r>
      <w:r>
        <w:rPr>
          <w:rFonts w:ascii="Times New Roman" w:hAnsi="Times New Roman"/>
          <w:b w:val="false"/>
          <w:i w:val="false"/>
          <w:color w:val="000000"/>
          <w:sz w:val="22"/>
        </w:rPr>
        <w:t> </w:t>
      </w:r>
      <w:r>
        <w:rPr>
          <w:rFonts w:ascii="Times New Roman" w:hAnsi="Times New Roman"/>
          <w:b w:val="false"/>
          <w:i/>
          <w:color w:val="000000"/>
          <w:sz w:val="22"/>
        </w:rPr>
        <w:t xml:space="preserve">Treatment summary. </w:t>
      </w:r>
      <w:r>
        <w:rPr>
          <w:rFonts w:ascii="Times New Roman" w:hAnsi="Times New Roman"/>
          <w:b w:val="false"/>
          <w:i w:val="false"/>
          <w:color w:val="000000"/>
          <w:sz w:val="22"/>
        </w:rPr>
        <w:t>Prior to the individual’s discharge from CSCBS, a treatment summary is completed. A copy of the summary is provided to the individual and shared with the individual’s treatment team of providers,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a minimum, the treatment summary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 and progress of the individual with regard to each identified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Documented note of a mental health professional contact one time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Evolution of the mental status to inform ongoing placement and support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assessment, including general observations and significant findings of the individual’s condition initially while services were being provided and at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Recommendations and arrangements for further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Signature of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Reasons for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Treatment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treatment summary is completed during the length of stay in CSCBS.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include a written treatment summary developed with the involvement of the individual. A copy of the summary is provided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Incidents in which a treatment plan was not completed within the length of stay and any corrective action necessary to alleviate this issue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24.38(8)</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Emergency preparedness policies and procedures include health and safety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plans are designed to provide effective utilization of available resources for care to continue during a disaster event including, but not limited to, cases of severe weather or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services comply with rule </w:t>
      </w:r>
      <w:hyperlink r:id="rId88">
        <w:r>
          <w:rPr>
            <w:rStyle w:val="Hyperlink"/>
            <w:rFonts w:ascii="Times New Roman" w:hAnsi="Times New Roman"/>
            <w:b w:val="false"/>
            <w:i w:val="false"/>
            <w:color w:val="000000"/>
            <w:sz w:val="22"/>
          </w:rPr>
          <w:t>441—24.39</w:t>
        </w:r>
      </w:hyperlink>
      <w:r>
        <w:rPr>
          <w:rFonts w:ascii="Times New Roman" w:hAnsi="Times New Roman"/>
          <w:b w:val="false"/>
          <w:i w:val="false"/>
          <w:color w:val="000000"/>
          <w:sz w:val="22"/>
        </w:rPr>
        <w:t>(225C).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441—24.39</w:t>
      </w:r>
      <w:r>
        <w:rPr>
          <w:rFonts w:ascii="Times New Roman" w:hAnsi="Times New Roman"/>
          <w:b/>
          <w:i w:val="false"/>
          <w:color w:val="000000"/>
          <w:sz w:val="22"/>
        </w:rPr>
        <w:t xml:space="preserve">(225C) </w:t>
      </w:r>
      <w:r>
        <w:rPr>
          <w:rFonts w:ascii="Times New Roman" w:hAnsi="Times New Roman"/>
          <w:b/>
          <w:i w:val="false"/>
          <w:color w:val="000000"/>
          <w:sz w:val="22"/>
        </w:rPr>
        <w:t xml:space="preserve">Crisis stabilization residential services (CSRS). </w:t>
      </w:r>
      <w:r>
        <w:rPr>
          <w:rFonts w:ascii="Times New Roman" w:hAnsi="Times New Roman"/>
          <w:b w:val="false"/>
          <w:i w:val="false"/>
          <w:color w:val="000000"/>
          <w:sz w:val="22"/>
        </w:rPr>
        <w:t xml:space="preserve">Crisis stabilization residential services are short-term services provided in facility-based settings of no more than 16 beds. The goal of CSRS is to stabilize and reintegrate the individual back into the community. Crisis stabilization residential services are designed for voluntary individuals who are in need of a safe, secure environment less intensive and restrictive than an inpatient hospital. Crisis stabilization residential services have the capacity to serve more than two individuals at a time. Crisis stabilization residential services can be for youth aged 18 and younger or adults aged 18 and older. Youth and adults cannot be housed in the same facility setting. Facilities licensed by the department of inspections and appeals for other services would have to comply with the provisions of Iowa Administrative Code rule </w:t>
      </w:r>
      <w:hyperlink r:id="rId89">
        <w:r>
          <w:rPr>
            <w:rStyle w:val="Hyperlink"/>
            <w:rFonts w:ascii="Times New Roman" w:hAnsi="Times New Roman"/>
            <w:b w:val="false"/>
            <w:i w:val="false"/>
            <w:color w:val="000000"/>
            <w:sz w:val="22"/>
          </w:rPr>
          <w:t>481—57.50</w:t>
        </w:r>
      </w:hyperlink>
      <w:r>
        <w:rPr>
          <w:rFonts w:ascii="Times New Roman" w:hAnsi="Times New Roman"/>
          <w:b w:val="false"/>
          <w:i w:val="false"/>
          <w:color w:val="000000"/>
          <w:sz w:val="22"/>
        </w:rPr>
        <w:t>(135C) for operating another business or activity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an adult aged 18 or older or a youth aged 18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determined appropriate for the service by a mental health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determined to not need inpatient acute hospital psychiatric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24.39(2)</w:t>
      </w:r>
      <w:r>
        <w:rPr>
          <w:rFonts w:ascii="Times New Roman" w:hAnsi="Times New Roman"/>
          <w:b w:val="false"/>
          <w:i w:val="false"/>
          <w:color w:val="000000"/>
          <w:sz w:val="22"/>
        </w:rPr>
        <w:t> </w:t>
      </w:r>
      <w:r>
        <w:rPr>
          <w:rFonts w:ascii="Times New Roman" w:hAnsi="Times New Roman"/>
          <w:b w:val="false"/>
          <w:i/>
          <w:color w:val="000000"/>
          <w:sz w:val="22"/>
        </w:rPr>
        <w:t xml:space="preserve">Staffing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director or administrator is responsible for the management and operation of the CSRS of no more than 16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licensed mental health professional is available for consultation 24 hours a day,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stabilization residential services are provided by a mental health professional with expertise appropriate to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individual has contact with a mental health professional at least one time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individual has a minimum of one hour per day of additional services provided by crisis response staff including, but not limited to, skill building, peer support or family support peer services; or other therapeutic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Awake and attentive staffing 24 hours a day, 365 days a year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24.39(3)</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The individual is provided safe, secure and structured crisis stabilization services in the least restrictive location meeting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24.39(4)</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consent is documented, and treatment providers, family members and other natural supports are contacted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comprehensive mental health assessment is completed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Daily crisis stabilization includes, at minimum, daily contact with a mental health professional and one hour of additional crisis stabilization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length of stay is expected to be less than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days an individual receives crisis stabilization services is documented. The documentation records specific reasons for lengths of stay beyond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Daily contact with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services provided include, but are not limited to, skill building, peer support or family support peer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Individual choice is verified including, but not limited to, treatment participation and discharge plan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Data of readmission is tracked including an analysis of data trends, looking at effectiveness, and appropriate corrective action. The information is documented in the performance improvement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Documentation tracks that the youth’s education needs are met with educational services received in the CSRS, and an action plan is in place to return the youth to school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24.39(5)</w:t>
      </w: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incident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An incident report is completed when staff are notified an incident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incident report documents: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individual who was involved in the incident.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and time of occurrence of the incident.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and signatures of all staff present at the time of the incident.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action staff took to handle the situation.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resolution or follow-up to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is maintained in a centralized file and a copy given to the individual, the mental health and disability services region, and the parent or guardian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24.39(6)</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Stabilization plan. </w:t>
      </w:r>
      <w:r>
        <w:rPr>
          <w:rFonts w:ascii="Times New Roman" w:hAnsi="Times New Roman"/>
          <w:b w:val="false"/>
          <w:i w:val="false"/>
          <w:color w:val="000000"/>
          <w:sz w:val="22"/>
        </w:rPr>
        <w:t>The individual is involved collaboratively in all aspects of crisis stabilization services including, but not limited to, admission, treatment planning, intervention, and discharge. The involvement of family members and others is encouraged.</w:t>
      </w:r>
    </w:p>
    <w:p>
      <w:pPr>
        <w:spacing w:before="0" w:after="0"/>
        <w:ind w:left="120"/>
        <w:jc w:val="both"/>
      </w:pPr>
      <w:r>
        <w:rPr>
          <w:rFonts w:ascii="Times New Roman" w:hAnsi="Times New Roman"/>
          <w:b w:val="false"/>
          <w:i w:val="false"/>
          <w:color w:val="000000"/>
          <w:sz w:val="22"/>
        </w:rPr>
        <w:t>Within 24 hours of admission to CSRS, a written short-term stabilization plan is developed, with the involvement and consent of the individual, and reviewed frequently to assess the need for continued placement in CSRS. At a minimum, this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discharge, including referrals and linkages to appropriate services and coordination with other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any physical disability and accommodations necessary to provide the same or equal services and benefits as those afforded nondisabled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input by the individual, including the individual’s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Goals consistent with needs and projected length of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Objectives that are built on strengths and allow measurement of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Rights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Signatures of all participating in the development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Specification of treatment responsibilities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stabilization plan is completed within 24 hours of admittance.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include a written short-term stabilization plan developed with the involvement and consent of the individual within 24 hours of admission and is reviewed frequently to assess the need for continued placement in CSRS.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indicating a stabilization plan has been completed within the 24-hour time frame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the stabilization plan does not meet the criteria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follow-up appointment with the individual’s preferred provider will be made, and crisis response staff will follow up with the individual and document contact or attempt to contact on a periodic basis until the appointment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24.39(7)</w:t>
      </w:r>
      <w:r>
        <w:rPr>
          <w:rFonts w:ascii="Times New Roman" w:hAnsi="Times New Roman"/>
          <w:b w:val="false"/>
          <w:i w:val="false"/>
          <w:color w:val="000000"/>
          <w:sz w:val="22"/>
        </w:rPr>
        <w:t> </w:t>
      </w:r>
      <w:r>
        <w:rPr>
          <w:rFonts w:ascii="Times New Roman" w:hAnsi="Times New Roman"/>
          <w:b w:val="false"/>
          <w:i/>
          <w:color w:val="000000"/>
          <w:sz w:val="22"/>
        </w:rPr>
        <w:t xml:space="preserve">Treatment summary. </w:t>
      </w:r>
      <w:r>
        <w:rPr>
          <w:rFonts w:ascii="Times New Roman" w:hAnsi="Times New Roman"/>
          <w:b w:val="false"/>
          <w:i w:val="false"/>
          <w:color w:val="000000"/>
          <w:sz w:val="22"/>
        </w:rPr>
        <w:t>Prior to discharge, a treatment summary is provided and a copy shared with the individual and treatment team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a minimum, this treatment summary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 and progress regarding each identified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daily contact with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Impact on placement and support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Treatment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Reasons for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Signature of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A treatment summary is completed during the individual’s length of stay in CSRS.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include a written treatment summary developed with the involvement and consent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receives a copy of the treatment summary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Corrective action steps are documented when treatment plans are not completed within the length of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24.39(8)</w:t>
      </w:r>
      <w:r>
        <w:rPr>
          <w:rFonts w:ascii="Times New Roman" w:hAnsi="Times New Roman"/>
          <w:b w:val="false"/>
          <w:i w:val="false"/>
          <w:color w:val="000000"/>
          <w:sz w:val="22"/>
        </w:rPr>
        <w:t> </w:t>
      </w:r>
      <w:r>
        <w:rPr>
          <w:rFonts w:ascii="Times New Roman" w:hAnsi="Times New Roman"/>
          <w:b w:val="false"/>
          <w:i/>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policies and procedures include health and safety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stabilization services meet all applicable local,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administration and documentation standards in rule </w:t>
      </w:r>
      <w:hyperlink r:id="rId90">
        <w:r>
          <w:rPr>
            <w:rStyle w:val="Hyperlink"/>
            <w:rFonts w:ascii="Times New Roman" w:hAnsi="Times New Roman"/>
            <w:b w:val="false"/>
            <w:i w:val="false"/>
            <w:color w:val="000000"/>
            <w:sz w:val="22"/>
          </w:rPr>
          <w:t>441—24.40</w:t>
        </w:r>
      </w:hyperlink>
      <w:r>
        <w:rPr>
          <w:rFonts w:ascii="Times New Roman" w:hAnsi="Times New Roman"/>
          <w:b w:val="false"/>
          <w:i w:val="false"/>
          <w:color w:val="000000"/>
          <w:sz w:val="22"/>
        </w:rPr>
        <w:t>(225C)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and fire safety inspections.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includes Iowa fire marshal rules and fire ordinances, local health, fire, occupancy code, and safety regulations.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Standards for public facilities guide food and beverage safety, nutrition standards, and safe storage of all consumable products.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Crisis stabilization residential services comply with rule </w:t>
      </w:r>
      <w:hyperlink r:id="rId91">
        <w:r>
          <w:rPr>
            <w:rStyle w:val="Hyperlink"/>
            <w:rFonts w:ascii="Times New Roman" w:hAnsi="Times New Roman"/>
            <w:b w:val="false"/>
            <w:i w:val="false"/>
            <w:color w:val="000000"/>
            <w:sz w:val="22"/>
          </w:rPr>
          <w:t>441—24.40</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Emergency preparedness policies are designed to provide effective utilization of available resources for continuation during a disaster event, including, but not limited to, cases of severe weather or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is safe, clean, well-ventilated, and a properly heated environment in good repair and free from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Bedrooms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sturdily constructed bed.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sanitized mattress protected with a clean mattress pad.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designated space in proximity to the sleeping area for personal possessions including clothing.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Curtains or window blinds on bedroom windows.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Available clean linens.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Sleeping areas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Doors for privacy.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Partitioning and placement of furniture to provide privacy.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Rooms accommodate no more than two per room. Single room dimensions are at least 80 square feet not including closets. Dual occupancy rooms are at least 120 square feet not including closets.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Personal belongings and personal touches in the rooms are defined within CSRS policy.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Respect by staff for an individual’s right to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hygiene and privacy tools are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safe supply of hot and cold running water which is potable.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Clean towels, electric hand dryers or paper towel dispensers, and an available supply of toilet paper and soap.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Natural or mechanical ventilation capable of removing odors.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Tubs or showers with slip-proof surfaces.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Partitions with doors which provide privacy if a bathroom has multiple toilet stools.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Toilets, wash basins, and other plumbing or sanitary facilities are in good operating condition.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Privacy in bathrooms for male and female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Federal laws regarding smoking on property are recognized and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following is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Areas in which an individual may be alone when appropriate.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Areas for private conversations with others.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secure space for personal belongings.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Maintenance of living quarters and day-to-day housekeeping activities are clearly defined in writing and a part of the orientation. Staff assistance and equipment are provided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clothing is allowed in accordance with CSRS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Clothing may be washed with provided laundry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Religion/culture. </w:t>
      </w:r>
      <w:r>
        <w:rPr>
          <w:rFonts w:ascii="Times New Roman" w:hAnsi="Times New Roman"/>
          <w:b w:val="false"/>
          <w:i w:val="false"/>
          <w:color w:val="000000"/>
          <w:sz w:val="22"/>
        </w:rPr>
        <w:t>Rights to religion and culture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opportunity to participate in religious activities and services in accordance with the individual’s faith or of a minor individual’s parent(s)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Arrange for transportation to religious activities when appropriate per CSRS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The smokefree air Act, Iowa Code chapter </w:t>
      </w:r>
      <w:hyperlink r:id="rId9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is included in the CSRS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441—24.40</w:t>
      </w:r>
      <w:r>
        <w:rPr>
          <w:rFonts w:ascii="Times New Roman" w:hAnsi="Times New Roman"/>
          <w:b/>
          <w:i w:val="false"/>
          <w:color w:val="000000"/>
          <w:sz w:val="22"/>
        </w:rPr>
        <w:t xml:space="preserve">(225C) </w:t>
      </w:r>
      <w:r>
        <w:rPr>
          <w:rFonts w:ascii="Times New Roman" w:hAnsi="Times New Roman"/>
          <w:b/>
          <w:i w:val="false"/>
          <w:color w:val="000000"/>
          <w:sz w:val="22"/>
        </w:rPr>
        <w:t xml:space="preserve">Medication—administration, storage and documentation. </w:t>
      </w:r>
      <w:r>
        <w:rPr>
          <w:rFonts w:ascii="Times New Roman" w:hAnsi="Times New Roman"/>
          <w:b w:val="false"/>
          <w:i w:val="false"/>
          <w:color w:val="000000"/>
          <w:sz w:val="22"/>
        </w:rPr>
        <w:t>This rule sets forth medication requirements for 23-hour crisis observation and holding, crisis stabilization community-based services, and crisis 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24.40(1)</w:t>
      </w:r>
      <w:r>
        <w:rPr>
          <w:rFonts w:ascii="Times New Roman" w:hAnsi="Times New Roman"/>
          <w:b w:val="false"/>
          <w:i w:val="false"/>
          <w:color w:val="000000"/>
          <w:sz w:val="22"/>
        </w:rPr>
        <w:t> </w:t>
      </w:r>
      <w:r>
        <w:rPr>
          <w:rFonts w:ascii="Times New Roman" w:hAnsi="Times New Roman"/>
          <w:b w:val="false"/>
          <w:i/>
          <w:color w:val="000000"/>
          <w:sz w:val="22"/>
        </w:rPr>
        <w:t xml:space="preserve">Performance benchmark. </w:t>
      </w:r>
      <w:r>
        <w:rPr>
          <w:rFonts w:ascii="Times New Roman" w:hAnsi="Times New Roman"/>
          <w:b w:val="false"/>
          <w:i w:val="false"/>
          <w:color w:val="000000"/>
          <w:sz w:val="22"/>
        </w:rPr>
        <w:t>Policies and procedures ensure prescription and over-the-counter drugs are administered or self-administered safely and properly in accordance with federal, state and local laws and regulations. Medication is administered by a qualified prescriber or an individual following the instructions of a qualified prescriber. Medication storage is maintained in accordance with the security requirements of federal, state and local laws. Case records include written policies and procedures regarding use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24.40(2)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dose schedules and standardization of abbreviations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Throughout the CSRS specific methods for control and accountability of medication products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 and over-the-counter drugs are administered or self-administered safely and properly in accordance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Medications are prescribed by a qualified prescriber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Prescription drugs are not administered or self-administered without a written order signed by a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Staff-administered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qualified and authorized staff administers medication, and a current, accurate list of staff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prescribers instruct how medications are administered and documented. The type and amount of medication, time and date of medication administered, and the name of staff administering the medication are transcribed in the 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Self-administered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document which staff have completed department-approved training on self-administration of 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Self-administration of prescription and over-the-counter medications are permitted only when the medication label is clear and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Medication storage. </w:t>
      </w:r>
      <w:r>
        <w:rPr>
          <w:rFonts w:ascii="Times New Roman" w:hAnsi="Times New Roman"/>
          <w:b w:val="false"/>
          <w:i w:val="false"/>
          <w:color w:val="000000"/>
          <w:sz w:val="22"/>
        </w:rPr>
        <w:t>Medication storage policies under the care and control of the administration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medication is maintained in locked storage, and controlled substances are maintained in a locked box within locked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are kept in a refrigerator separated from food and other edible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Disinfectants and medication for external use are stored separately from internal and injectable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medication is stored in original containers and labeled with the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medications are clearly labeled; stored separately from other medication, in a specific well-illuminated cabinet, closet, or storeroom; and made accessible only to authorized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provided is dispensed from a licensed pharmacy in the state of Iowa in accordance with the Iowa Code. It can also be provided by a qualified prescriber from a licensed pharmacy in another state according to the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medications prescribed for one individual are not administered or allowed in the possession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labeling. </w:t>
      </w:r>
      <w:r>
        <w:rPr>
          <w:rFonts w:ascii="Times New Roman" w:hAnsi="Times New Roman"/>
          <w:b w:val="false"/>
          <w:i w:val="false"/>
          <w:color w:val="000000"/>
          <w:sz w:val="22"/>
        </w:rPr>
        <w:t>All prescribed medications are clearly labeled with the full name; prescriber’s name; prescription number; name and strength of the medication; dosage; directions for use; date of issue; and name, address and telephone number of the pharmacy or prescriber issuing the medication. Medications are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Monthly inspection. </w:t>
      </w:r>
      <w:r>
        <w:rPr>
          <w:rFonts w:ascii="Times New Roman" w:hAnsi="Times New Roman"/>
          <w:b w:val="false"/>
          <w:i w:val="false"/>
          <w:color w:val="000000"/>
          <w:sz w:val="22"/>
        </w:rPr>
        <w:t>The staff member in charge of medication provides monthly inspection of all storage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Damaged labels. </w:t>
      </w:r>
      <w:r>
        <w:rPr>
          <w:rFonts w:ascii="Times New Roman" w:hAnsi="Times New Roman"/>
          <w:b w:val="false"/>
          <w:i w:val="false"/>
          <w:color w:val="000000"/>
          <w:sz w:val="22"/>
        </w:rPr>
        <w:t>Medication containers having soiled, damaged, illegible, or makeshift labels are returned to the issuing pharmacist, pharmacy, or qualified prescriber for relabeling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Unused medications. </w:t>
      </w:r>
      <w:r>
        <w:rPr>
          <w:rFonts w:ascii="Times New Roman" w:hAnsi="Times New Roman"/>
          <w:b w:val="false"/>
          <w:i w:val="false"/>
          <w:color w:val="000000"/>
          <w:sz w:val="22"/>
        </w:rPr>
        <w:t>Unused prescription drugs are destroyed by staff with a witness present, when an individual leaves the crisis service without medication. A notation is documented in the record. When an individual is discharged or leaves the crisis service, medications currently being administered are sent in their original containers with the individual or with a designated person, with the approval of the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Medication brought by individual. </w:t>
      </w:r>
      <w:r>
        <w:rPr>
          <w:rFonts w:ascii="Times New Roman" w:hAnsi="Times New Roman"/>
          <w:b w:val="false"/>
          <w:i w:val="false"/>
          <w:color w:val="000000"/>
          <w:sz w:val="22"/>
        </w:rPr>
        <w:t>If the prescribed and over-the-counter medication the individual brings to the CSRS is not used, the medication is packaged, sealed and stored. The sealed packages of medications are returned to the individual or family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Medication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are in place for the review, approval, and implementation of ethical, safe, human and efficient behavioral intervention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are in place to inform the individual and the individual’s legal guardian, when appropriate, about prohibitions on the use of medication as a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required in case records on adverse drug reactions when medications are administered and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medication orders are documented in the case records and document the name of the medication, dose, route of administration, frequency of administration, name of the qualified prescriber prescribing the medication, and name of the staff administering or dispensing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records are documented by authorized staff administering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Medication rights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is not used as a restraint. The use of psychopharmacological medication in excess of the standard plan of care is prohibited. Using medication as a restraint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Drugs or medications used to control behavior or restrict freedom of movement.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Drugs or medications used in excessive amounts or in excessive frequency.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Neuroleptics, anxiolytics, antihistamines, and atypical neuroleptics, or other medication used for calming, rather than for the medication’s indicated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or medications used for standard treatment of the individual’s medical or psychiatric condition are not considered to be used as a restraint.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1660C</w:t>
      </w:r>
      <w:r>
        <w:rPr>
          <w:rFonts w:ascii="Times New Roman" w:hAnsi="Times New Roman"/>
          <w:b w:val="false"/>
          <w:i w:val="false"/>
          <w:color w:val="000000"/>
          <w:sz w:val="16"/>
        </w:rPr>
        <w:t>, IAB 10/15/14, effective 12/1/14</w:t>
      </w:r>
      <w:r>
        <w:rPr>
          <w:rFonts w:ascii="Times New Roman" w:hAnsi="Times New Roman"/>
          <w:b w:val="false"/>
          <w:i w:val="false"/>
          <w:color w:val="000000"/>
          <w:sz w:val="16"/>
        </w:rPr>
        <w:t xml:space="preserve">; </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sections </w:t>
      </w:r>
      <w:hyperlink r:id="rId93">
        <w:r>
          <w:rPr>
            <w:rStyle w:val="Hyperlink"/>
            <w:rFonts w:ascii="Times New Roman" w:hAnsi="Times New Roman"/>
            <w:b w:val="false"/>
            <w:i w:val="false"/>
            <w:color w:val="000000"/>
            <w:sz w:val="22"/>
          </w:rPr>
          <w:t>331.397</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225C.19A</w:t>
        </w:r>
      </w:hyperlink>
      <w:r>
        <w:rPr>
          <w:rFonts w:ascii="Times New Roman" w:hAnsi="Times New Roman"/>
          <w:b w:val="false"/>
          <w:i w:val="false"/>
          <w:color w:val="000000"/>
          <w:sz w:val="22"/>
        </w:rPr>
        <w:t xml:space="preserve"> and chapter </w:t>
      </w:r>
      <w:hyperlink r:id="rId95">
        <w:r>
          <w:rPr>
            <w:rStyle w:val="Hyperlink"/>
            <w:rFonts w:ascii="Times New Roman" w:hAnsi="Times New Roman"/>
            <w:b w:val="false"/>
            <w:i w:val="false"/>
            <w:color w:val="000000"/>
            <w:sz w:val="22"/>
          </w:rPr>
          <w:t>230A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441—24.41</w:t>
      </w:r>
      <w:r>
        <w:rPr>
          <w:rFonts w:ascii="Times New Roman" w:hAnsi="Times New Roman"/>
          <w:b w:val="false"/>
          <w:i w:val="false"/>
          <w:color w:val="000000"/>
          <w:sz w:val="22"/>
        </w:rPr>
        <w:t xml:space="preserve"> to </w:t>
      </w:r>
      <w:r>
        <w:rPr>
          <w:rFonts w:ascii="Times New Roman" w:hAnsi="Times New Roman"/>
          <w:b/>
          <w:i w:val="false"/>
          <w:color w:val="000000"/>
          <w:sz w:val="22"/>
        </w:rPr>
        <w:t>24.49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COMMUNITY MENTAL HEALTH CENTERS</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 department of human services in consultation with the mental health and disability services commission has established this set of standards to be met by all designated community mental health centers (CMHCs). CMHCs are to provide an organized set of services to adequately meet the mental health needs of individuals in their catchment area. It is the department’s responsibility to designate at least one community mental health center for addressing the mental health needs of the county or counties comprising a catchment area in accordance with Iowa Code chapter 230A.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441—24.50</w:t>
      </w:r>
      <w:r>
        <w:rPr>
          <w:rFonts w:ascii="Times New Roman" w:hAnsi="Times New Roman"/>
          <w:b/>
          <w:i w:val="false"/>
          <w:color w:val="000000"/>
          <w:sz w:val="22"/>
        </w:rPr>
        <w:t xml:space="preserve">(230A)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“Catchment area” </w:t>
      </w:r>
      <w:r>
        <w:rPr>
          <w:rFonts w:ascii="Times New Roman" w:hAnsi="Times New Roman"/>
          <w:b w:val="false"/>
          <w:i w:val="false"/>
          <w:color w:val="000000"/>
          <w:sz w:val="22"/>
        </w:rPr>
        <w:t xml:space="preserve">means the same as defined in Iowa Code section </w:t>
      </w:r>
      <w:hyperlink r:id="rId96">
        <w:r>
          <w:rPr>
            <w:rStyle w:val="Hyperlink"/>
            <w:rFonts w:ascii="Times New Roman" w:hAnsi="Times New Roman"/>
            <w:b w:val="false"/>
            <w:i w:val="false"/>
            <w:color w:val="000000"/>
            <w:sz w:val="22"/>
          </w:rPr>
          <w:t>230A.102(2)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mental health center self-assessment” </w:t>
      </w:r>
      <w:r>
        <w:rPr>
          <w:rFonts w:ascii="Times New Roman" w:hAnsi="Times New Roman"/>
          <w:b w:val="false"/>
          <w:i w:val="false"/>
          <w:color w:val="000000"/>
          <w:sz w:val="22"/>
        </w:rPr>
        <w:t>means the form completed and submitted to the department by a new organization as part of the initial application to be designated as a CMHC. Designated CMHCs complete the form annually and submit it to the department as part of the accreditation and CMHC monitoring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support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“CSS” </w:t>
      </w:r>
      <w:r>
        <w:rPr>
          <w:rFonts w:ascii="Times New Roman" w:hAnsi="Times New Roman"/>
          <w:b w:val="false"/>
          <w:i w:val="false"/>
          <w:color w:val="000000"/>
          <w:sz w:val="22"/>
        </w:rPr>
        <w:t>means services that support individuals with a mental illness and functional impairment to live and work in the community of their choice through assisting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Monitoring of mental health symptoms and functioning/reality orientation;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Transportation;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Supportive relationship;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Communication with other providers;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Ensuring individual attends appointments/obtains medications;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Crisis intervention/developing crisis plan;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Coordination and development of natural support systems for mental health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impairment,” </w:t>
      </w:r>
      <w:r>
        <w:rPr>
          <w:rFonts w:ascii="Times New Roman" w:hAnsi="Times New Roman"/>
          <w:b w:val="false"/>
          <w:i w:val="false"/>
          <w:color w:val="000000"/>
          <w:sz w:val="22"/>
        </w:rPr>
        <w:t xml:space="preserve">for the purpose of this division, means difficulties that substantially interfere with or limit functioning in one or more major life activities, such as basic daily living (including but not limited to eating, bathing, dressing); instrumental living skills (including but not limited to maintaining a household, managing money, community involvement, taking prescribed medication); and functioning in social, family and vocational/educational contexts.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“Psychosocial rehabilitation services” </w:t>
      </w:r>
      <w:r>
        <w:rPr>
          <w:rFonts w:ascii="Times New Roman" w:hAnsi="Times New Roman"/>
          <w:b w:val="false"/>
          <w:i w:val="false"/>
          <w:color w:val="000000"/>
          <w:sz w:val="22"/>
        </w:rPr>
        <w:t>means services that promote recovery, full community integration, and improved quality of life for persons who have been diagnosed with any mental health condition that seriously impairs their ability to lead meaningful lives. Psychosocial rehabilitation services are collaborative, person-directed and individualized. The service focuses on helping individuals develop skills and access resources needed to increase their capacity to be successful and satisfied in the living, working, learning, and social environments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population” </w:t>
      </w:r>
      <w:r>
        <w:rPr>
          <w:rFonts w:ascii="Times New Roman" w:hAnsi="Times New Roman"/>
          <w:b w:val="false"/>
          <w:i w:val="false"/>
          <w:color w:val="000000"/>
          <w:sz w:val="22"/>
        </w:rPr>
        <w:t xml:space="preserve">means the same as defined in Iowa Code section </w:t>
      </w:r>
      <w:hyperlink r:id="rId97">
        <w:r>
          <w:rPr>
            <w:rStyle w:val="Hyperlink"/>
            <w:rFonts w:ascii="Times New Roman" w:hAnsi="Times New Roman"/>
            <w:b w:val="false"/>
            <w:i w:val="false"/>
            <w:color w:val="000000"/>
            <w:sz w:val="22"/>
          </w:rPr>
          <w:t>230A.105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441—24.51</w:t>
      </w:r>
      <w:r>
        <w:rPr>
          <w:rFonts w:ascii="Times New Roman" w:hAnsi="Times New Roman"/>
          <w:b/>
          <w:i w:val="false"/>
          <w:color w:val="000000"/>
          <w:sz w:val="22"/>
        </w:rPr>
        <w:t xml:space="preserve">(230A) </w:t>
      </w:r>
      <w:r>
        <w:rPr>
          <w:rFonts w:ascii="Times New Roman" w:hAnsi="Times New Roman"/>
          <w:b/>
          <w:i w:val="false"/>
          <w:color w:val="000000"/>
          <w:sz w:val="22"/>
        </w:rPr>
        <w:t xml:space="preserve">Community mental health center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organization seeking designation as a community mental health center or a designated community mental health center seeking to expand its designated catchment area shall submit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470-3005, Accreditation Application, if requesting accreditation for a CMHC core service(s) other than outpatient psychotherapy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470-5691, Community Mental Health Center Designation, signed by the organization’s chief executive officer and the chairperson of the governing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 470-5692, Community Mental Health Center Self-Assessment.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24.51(2)</w:t>
      </w:r>
      <w:r>
        <w:rPr>
          <w:rFonts w:ascii="Times New Roman" w:hAnsi="Times New Roman"/>
          <w:b w:val="false"/>
          <w:i w:val="false"/>
          <w:color w:val="000000"/>
          <w:sz w:val="22"/>
        </w:rPr>
        <w:t> </w:t>
      </w:r>
      <w:r>
        <w:rPr>
          <w:rFonts w:ascii="Times New Roman" w:hAnsi="Times New Roman"/>
          <w:b w:val="false"/>
          <w:i/>
          <w:color w:val="000000"/>
          <w:sz w:val="22"/>
        </w:rPr>
        <w:t xml:space="preserve">Exceptional circumstances. </w:t>
      </w:r>
      <w:r>
        <w:rPr>
          <w:rFonts w:ascii="Times New Roman" w:hAnsi="Times New Roman"/>
          <w:b w:val="false"/>
          <w:i w:val="false"/>
          <w:color w:val="000000"/>
          <w:sz w:val="22"/>
        </w:rPr>
        <w:t>Designation for more than one CMHC in a county shall require a determination of exceptional circumstances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requesting designation for a county that is part of another CMHC’s catchment area shall submit information supporting their designation request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that the target population does not have access to the required core services with minimal or no service denials.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Ability to staff core services within the capacity of the catchment area’s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 health and disability services (MHDS) region(s) letter of support that includes the catchment area’s ability to financially support more than one CMHC.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to the existing CMHC of intention to apply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collaboration and coordination with existing CMHC.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98">
        <w:r>
          <w:rPr>
            <w:rStyle w:val="Hyperlink"/>
            <w:rFonts w:ascii="Times New Roman" w:hAnsi="Times New Roman"/>
            <w:b w:val="false"/>
            <w:i w:val="false"/>
            <w:color w:val="000000"/>
            <w:sz w:val="22"/>
          </w:rPr>
          <w:t>24.51(2)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numbered paragraph “2” in rule </w:t>
      </w:r>
      <w:hyperlink r:id="rId99">
        <w:r>
          <w:rPr>
            <w:rStyle w:val="Hyperlink"/>
            <w:rFonts w:ascii="Times New Roman" w:hAnsi="Times New Roman"/>
            <w:b w:val="false"/>
            <w:i w:val="false"/>
            <w:color w:val="000000"/>
            <w:sz w:val="22"/>
          </w:rPr>
          <w:t>441—24.52</w:t>
        </w:r>
      </w:hyperlink>
      <w:r>
        <w:rPr>
          <w:rFonts w:ascii="Times New Roman" w:hAnsi="Times New Roman"/>
          <w:b w:val="false"/>
          <w:i w:val="false"/>
          <w:color w:val="000000"/>
          <w:sz w:val="22"/>
        </w:rPr>
        <w:t xml:space="preserve">(230A) do not apply to CMHCs designated as described in Iowa Code section </w:t>
      </w:r>
      <w:hyperlink r:id="rId100">
        <w:r>
          <w:rPr>
            <w:rStyle w:val="Hyperlink"/>
            <w:rFonts w:ascii="Times New Roman" w:hAnsi="Times New Roman"/>
            <w:b w:val="false"/>
            <w:i w:val="false"/>
            <w:color w:val="000000"/>
            <w:sz w:val="22"/>
          </w:rPr>
          <w:t>230A.104(2)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24.51(3)</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The department shall review information submitted by the applicant in accordance with </w:t>
      </w:r>
      <w:hyperlink r:id="rId101">
        <w:r>
          <w:rPr>
            <w:rStyle w:val="Hyperlink"/>
            <w:rFonts w:ascii="Times New Roman" w:hAnsi="Times New Roman"/>
            <w:b w:val="false"/>
            <w:i w:val="false"/>
            <w:color w:val="000000"/>
            <w:sz w:val="22"/>
          </w:rPr>
          <w:t>subrule 24.51(1)</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subrule 24.51(2)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paragraph 24.51(3)</w:t>
        </w:r>
        <w:r>
          <w:rPr>
            <w:rFonts w:ascii="Times New Roman" w:hAnsi="Times New Roman"/>
            <w:b w:val="false"/>
            <w:i/>
            <w:color w:val="000000"/>
            <w:sz w:val="22"/>
          </w:rPr>
          <w:t>“a”</w:t>
        </w:r>
      </w:hyperlink>
      <w:r>
        <w:rPr>
          <w:rFonts w:ascii="Times New Roman" w:hAnsi="Times New Roman"/>
          <w:b w:val="false"/>
          <w:i w:val="false"/>
          <w:color w:val="000000"/>
          <w:sz w:val="22"/>
        </w:rPr>
        <w:t xml:space="preserve"> as well as input from MHDS regions, neighboring CMHCs, and mental health service providers to determine if there will be a recommendation for designation. Recommendations for designation shall be submitted by the department to the MHDS commission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shall 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MHDS region(s) letter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active three-year accreditation for outpatient and evaluation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Formal agreement with appropriately accredited provider if the applicant is not directly providing the service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Day treatment, partial hospitalization, or psychosocial rehabilitation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or 24-hour crisis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470-5692, Community Mental Health Center Self-Assessment, that demonstrates the applicant’s ability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core services in accordance with rule </w:t>
      </w:r>
      <w:hyperlink r:id="rId104">
        <w:r>
          <w:rPr>
            <w:rStyle w:val="Hyperlink"/>
            <w:rFonts w:ascii="Times New Roman" w:hAnsi="Times New Roman"/>
            <w:b w:val="false"/>
            <w:i w:val="false"/>
            <w:color w:val="000000"/>
            <w:sz w:val="22"/>
          </w:rPr>
          <w:t>441—24.54</w:t>
        </w:r>
      </w:hyperlink>
      <w:r>
        <w:rPr>
          <w:rFonts w:ascii="Times New Roman" w:hAnsi="Times New Roman"/>
          <w:b w:val="false"/>
          <w:i w:val="false"/>
          <w:color w:val="000000"/>
          <w:sz w:val="22"/>
        </w:rPr>
        <w:t>(230A).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Meet service access standards according to </w:t>
      </w:r>
      <w:hyperlink r:id="rId105">
        <w:r>
          <w:rPr>
            <w:rStyle w:val="Hyperlink"/>
            <w:rFonts w:ascii="Times New Roman" w:hAnsi="Times New Roman"/>
            <w:b w:val="false"/>
            <w:i w:val="false"/>
            <w:color w:val="000000"/>
            <w:sz w:val="22"/>
          </w:rPr>
          <w:t>441—subparagraph 25.4(2)</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441—paragraphs </w:t>
      </w:r>
      <w:hyperlink r:id="rId106">
        <w:r>
          <w:rPr>
            <w:rStyle w:val="Hyperlink"/>
            <w:rFonts w:ascii="Times New Roman" w:hAnsi="Times New Roman"/>
            <w:b w:val="false"/>
            <w:i w:val="false"/>
            <w:color w:val="000000"/>
            <w:sz w:val="22"/>
          </w:rPr>
          <w:t>25.4(3)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Serve all ages of the target population with minimal to no service denials.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referrals for services provided outside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in writing of the result of the review. If the department recommends designation, the applicant shall attend the MHDS commission meeting at which the department presents the request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CMHCs designated in accordance with Iowa Code chapter </w:t>
      </w:r>
      <w:hyperlink r:id="rId107">
        <w:r>
          <w:rPr>
            <w:rStyle w:val="Hyperlink"/>
            <w:rFonts w:ascii="Times New Roman" w:hAnsi="Times New Roman"/>
            <w:b w:val="false"/>
            <w:i w:val="false"/>
            <w:color w:val="000000"/>
            <w:sz w:val="22"/>
          </w:rPr>
          <w:t>230A</w:t>
        </w:r>
      </w:hyperlink>
      <w:r>
        <w:rPr>
          <w:rFonts w:ascii="Times New Roman" w:hAnsi="Times New Roman"/>
          <w:b w:val="false"/>
          <w:i w:val="false"/>
          <w:color w:val="000000"/>
          <w:sz w:val="22"/>
        </w:rPr>
        <w:t xml:space="preserve"> prior to January 1, 2021, or designated as a CMHC by a county prior to October 1, 2010, will maintain their designation provided they meet the requirements set forth in rule </w:t>
      </w:r>
      <w:hyperlink r:id="rId108">
        <w:r>
          <w:rPr>
            <w:rStyle w:val="Hyperlink"/>
            <w:rFonts w:ascii="Times New Roman" w:hAnsi="Times New Roman"/>
            <w:b w:val="false"/>
            <w:i w:val="false"/>
            <w:color w:val="000000"/>
            <w:sz w:val="22"/>
          </w:rPr>
          <w:t>441—24.55</w:t>
        </w:r>
      </w:hyperlink>
      <w:r>
        <w:rPr>
          <w:rFonts w:ascii="Times New Roman" w:hAnsi="Times New Roman"/>
          <w:b w:val="false"/>
          <w:i w:val="false"/>
          <w:color w:val="000000"/>
          <w:sz w:val="22"/>
        </w:rPr>
        <w:t>(230A).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Non-CMHC agencies designated as described in Iowa Code section </w:t>
      </w:r>
      <w:hyperlink r:id="rId109">
        <w:r>
          <w:rPr>
            <w:rStyle w:val="Hyperlink"/>
            <w:rFonts w:ascii="Times New Roman" w:hAnsi="Times New Roman"/>
            <w:b w:val="false"/>
            <w:i w:val="false"/>
            <w:color w:val="000000"/>
            <w:sz w:val="22"/>
          </w:rPr>
          <w:t>230A.107(2)</w:t>
        </w:r>
      </w:hyperlink>
      <w:r>
        <w:rPr>
          <w:rFonts w:ascii="Times New Roman" w:hAnsi="Times New Roman"/>
          <w:b w:val="false"/>
          <w:i w:val="false"/>
          <w:color w:val="000000"/>
          <w:sz w:val="22"/>
        </w:rPr>
        <w:t xml:space="preserve"> may apply to be designated as a CMHC. The organization shall submit all required application materials in this subrule at least six months prior to the expiration of the organization’s current accreditation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24.51(4)</w:t>
      </w:r>
      <w:r>
        <w:rPr>
          <w:rFonts w:ascii="Times New Roman" w:hAnsi="Times New Roman"/>
          <w:b w:val="false"/>
          <w:i w:val="false"/>
          <w:color w:val="000000"/>
          <w:sz w:val="22"/>
        </w:rPr>
        <w:t> </w:t>
      </w:r>
      <w:r>
        <w:rPr>
          <w:rFonts w:ascii="Times New Roman" w:hAnsi="Times New Roman"/>
          <w:b w:val="false"/>
          <w:i/>
          <w:color w:val="000000"/>
          <w:sz w:val="22"/>
        </w:rPr>
        <w:t xml:space="preserve">Withdrawal of designation. </w:t>
      </w:r>
      <w:r>
        <w:rPr>
          <w:rFonts w:ascii="Times New Roman" w:hAnsi="Times New Roman"/>
          <w:b w:val="false"/>
          <w:i w:val="false"/>
          <w:color w:val="000000"/>
          <w:sz w:val="22"/>
        </w:rPr>
        <w:t>Community mental health centers seeking to withdraw their designation for part or all of their catchment area shall submit to the department Form 470-5691, Community Mental Health Center Designation, signed by the organization’s chief executive officer and the chairperson of the governing body. The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catchment area and catchment area requesting withdrawal of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 for withdrawal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withdrawal is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Continuity of care plan including but not limited to communication and coordination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and mental health service providers serving neighboring and current catchment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MHDS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24.51(5)</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The board of directors of a designated CMHC shall enter into an agreement with the department in accordance with Iowa Code section </w:t>
      </w:r>
      <w:hyperlink r:id="rId110">
        <w:r>
          <w:rPr>
            <w:rStyle w:val="Hyperlink"/>
            <w:rFonts w:ascii="Times New Roman" w:hAnsi="Times New Roman"/>
            <w:b w:val="false"/>
            <w:i w:val="false"/>
            <w:color w:val="000000"/>
            <w:sz w:val="22"/>
          </w:rPr>
          <w:t>230A.103(3)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24.51(6)</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 xml:space="preserve">An appeal to a designation determination may be filed in accordance with rule </w:t>
      </w:r>
      <w:hyperlink r:id="rId111">
        <w:r>
          <w:rPr>
            <w:rStyle w:val="Hyperlink"/>
            <w:rFonts w:ascii="Times New Roman" w:hAnsi="Times New Roman"/>
            <w:b w:val="false"/>
            <w:i w:val="false"/>
            <w:color w:val="000000"/>
            <w:sz w:val="22"/>
          </w:rPr>
          <w:t>441—24.8</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24.51(7)</w:t>
      </w:r>
      <w:r>
        <w:rPr>
          <w:rFonts w:ascii="Times New Roman" w:hAnsi="Times New Roman"/>
          <w:b w:val="false"/>
          <w:i w:val="false"/>
          <w:color w:val="000000"/>
          <w:sz w:val="22"/>
        </w:rPr>
        <w:t> </w:t>
      </w:r>
      <w:r>
        <w:rPr>
          <w:rFonts w:ascii="Times New Roman" w:hAnsi="Times New Roman"/>
          <w:b w:val="false"/>
          <w:i/>
          <w:color w:val="000000"/>
          <w:sz w:val="22"/>
        </w:rPr>
        <w:t xml:space="preserve">Exception to policy. </w:t>
      </w:r>
      <w:r>
        <w:rPr>
          <w:rFonts w:ascii="Times New Roman" w:hAnsi="Times New Roman"/>
          <w:b w:val="false"/>
          <w:i w:val="false"/>
          <w:color w:val="000000"/>
          <w:sz w:val="22"/>
        </w:rPr>
        <w:t xml:space="preserve">Requests for exceptions to policy shall be submitted in accordance with rule </w:t>
      </w:r>
      <w:hyperlink r:id="rId112">
        <w:r>
          <w:rPr>
            <w:rStyle w:val="Hyperlink"/>
            <w:rFonts w:ascii="Times New Roman" w:hAnsi="Times New Roman"/>
            <w:b w:val="false"/>
            <w:i w:val="false"/>
            <w:color w:val="000000"/>
            <w:sz w:val="22"/>
          </w:rPr>
          <w:t>441—24.9</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24.51(8)</w:t>
      </w:r>
      <w:r>
        <w:rPr>
          <w:rFonts w:ascii="Times New Roman" w:hAnsi="Times New Roman"/>
          <w:b w:val="false"/>
          <w:i w:val="false"/>
          <w:color w:val="000000"/>
          <w:sz w:val="22"/>
        </w:rPr>
        <w:t> </w:t>
      </w:r>
      <w:r>
        <w:rPr>
          <w:rFonts w:ascii="Times New Roman" w:hAnsi="Times New Roman"/>
          <w:b w:val="false"/>
          <w:i/>
          <w:color w:val="000000"/>
          <w:sz w:val="22"/>
        </w:rPr>
        <w:t xml:space="preserve">Denial of designation or revocation. </w:t>
      </w:r>
      <w:r>
        <w:rPr>
          <w:rFonts w:ascii="Times New Roman" w:hAnsi="Times New Roman"/>
          <w:b w:val="false"/>
          <w:i w:val="false"/>
          <w:color w:val="000000"/>
          <w:sz w:val="22"/>
        </w:rPr>
        <w:t>The department may deny or revoke the provider’s designation at any time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provide information requested pursuant to </w:t>
      </w:r>
      <w:hyperlink r:id="rId113">
        <w:r>
          <w:rPr>
            <w:rStyle w:val="Hyperlink"/>
            <w:rFonts w:ascii="Times New Roman" w:hAnsi="Times New Roman"/>
            <w:b w:val="false"/>
            <w:i w:val="false"/>
            <w:color w:val="000000"/>
            <w:sz w:val="22"/>
          </w:rPr>
          <w:t>subrule 24.51(1)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does not meet criteria pursuant to </w:t>
      </w:r>
      <w:hyperlink r:id="rId114">
        <w:r>
          <w:rPr>
            <w:rStyle w:val="Hyperlink"/>
            <w:rFonts w:ascii="Times New Roman" w:hAnsi="Times New Roman"/>
            <w:b w:val="false"/>
            <w:i w:val="false"/>
            <w:color w:val="000000"/>
            <w:sz w:val="22"/>
          </w:rPr>
          <w:t>subrule 24.51(3)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refuses to allow the department to conduct a site visit pursuant to subrule </w:t>
      </w:r>
      <w:hyperlink r:id="rId115">
        <w:r>
          <w:rPr>
            <w:rStyle w:val="Hyperlink"/>
            <w:rFonts w:ascii="Times New Roman" w:hAnsi="Times New Roman"/>
            <w:b w:val="false"/>
            <w:i w:val="false"/>
            <w:color w:val="000000"/>
            <w:sz w:val="22"/>
          </w:rPr>
          <w:t>24.5(3)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has failed to implement the corrective actions submitted and approved by the department pursuant to subrule </w:t>
      </w:r>
      <w:hyperlink r:id="rId116">
        <w:r>
          <w:rPr>
            <w:rStyle w:val="Hyperlink"/>
            <w:rFonts w:ascii="Times New Roman" w:hAnsi="Times New Roman"/>
            <w:b w:val="false"/>
            <w:i w:val="false"/>
            <w:color w:val="000000"/>
            <w:sz w:val="22"/>
          </w:rPr>
          <w:t>24.55(2)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accreditation was discontinued or revoked pursuant to paragraph </w:t>
      </w:r>
      <w:hyperlink r:id="rId117">
        <w:r>
          <w:rPr>
            <w:rStyle w:val="Hyperlink"/>
            <w:rFonts w:ascii="Times New Roman" w:hAnsi="Times New Roman"/>
            <w:b w:val="false"/>
            <w:i w:val="false"/>
            <w:color w:val="000000"/>
            <w:sz w:val="22"/>
          </w:rPr>
          <w:t>24.5(5)</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441—24.52</w:t>
      </w:r>
      <w:r>
        <w:rPr>
          <w:rFonts w:ascii="Times New Roman" w:hAnsi="Times New Roman"/>
          <w:b/>
          <w:i w:val="false"/>
          <w:color w:val="000000"/>
          <w:sz w:val="22"/>
        </w:rPr>
        <w:t xml:space="preserve">(230A) </w:t>
      </w:r>
      <w:r>
        <w:rPr>
          <w:rFonts w:ascii="Times New Roman" w:hAnsi="Times New Roman"/>
          <w:b/>
          <w:i w:val="false"/>
          <w:color w:val="000000"/>
          <w:sz w:val="22"/>
        </w:rPr>
        <w:t xml:space="preserve">Standards for policies and procedures. </w:t>
      </w:r>
      <w:r>
        <w:rPr>
          <w:rFonts w:ascii="Times New Roman" w:hAnsi="Times New Roman"/>
          <w:b w:val="false"/>
          <w:i w:val="false"/>
          <w:color w:val="000000"/>
          <w:sz w:val="22"/>
        </w:rPr>
        <w:t>Policies and procedures manuals shall include policy guidelines and administrative procedures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Core services and supports,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Serving the target population with minimal to no service denials,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Addressing the standards in rule </w:t>
      </w:r>
      <w:hyperlink r:id="rId118">
        <w:r>
          <w:rPr>
            <w:rStyle w:val="Hyperlink"/>
            <w:rFonts w:ascii="Times New Roman" w:hAnsi="Times New Roman"/>
            <w:b w:val="false"/>
            <w:i w:val="false"/>
            <w:color w:val="000000"/>
            <w:sz w:val="22"/>
          </w:rPr>
          <w:t>441—24.2</w:t>
        </w:r>
      </w:hyperlink>
      <w:r>
        <w:rPr>
          <w:rFonts w:ascii="Times New Roman" w:hAnsi="Times New Roman"/>
          <w:b w:val="false"/>
          <w:i w:val="false"/>
          <w:color w:val="000000"/>
          <w:sz w:val="22"/>
        </w:rPr>
        <w:t xml:space="preserve">(225),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Ensuring an individual’s ability to access services regardless of ability to pay. The CMHC shall assist individuals with applying for health insurance and MHDS regional assistance when necessary to ensure access to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441—24.53</w:t>
      </w:r>
      <w:r>
        <w:rPr>
          <w:rFonts w:ascii="Times New Roman" w:hAnsi="Times New Roman"/>
          <w:b/>
          <w:i w:val="false"/>
          <w:color w:val="000000"/>
          <w:sz w:val="22"/>
        </w:rPr>
        <w:t xml:space="preserve">(230A) </w:t>
      </w:r>
      <w:r>
        <w:rPr>
          <w:rFonts w:ascii="Times New Roman" w:hAnsi="Times New Roman"/>
          <w:b/>
          <w:i w:val="false"/>
          <w:color w:val="000000"/>
          <w:sz w:val="22"/>
        </w:rPr>
        <w:t xml:space="preserve">Standards for organizational activities. </w:t>
      </w:r>
      <w:r>
        <w:rPr>
          <w:rFonts w:ascii="Times New Roman" w:hAnsi="Times New Roman"/>
          <w:b w:val="false"/>
          <w:i w:val="false"/>
          <w:color w:val="000000"/>
          <w:sz w:val="22"/>
        </w:rPr>
        <w:t xml:space="preserve">The organization shall meet all requirements in rule </w:t>
      </w:r>
      <w:hyperlink r:id="rId119">
        <w:r>
          <w:rPr>
            <w:rStyle w:val="Hyperlink"/>
            <w:rFonts w:ascii="Times New Roman" w:hAnsi="Times New Roman"/>
            <w:b w:val="false"/>
            <w:i w:val="false"/>
            <w:color w:val="000000"/>
            <w:sz w:val="22"/>
          </w:rPr>
          <w:t>441—24.3</w:t>
        </w:r>
      </w:hyperlink>
      <w:r>
        <w:rPr>
          <w:rFonts w:ascii="Times New Roman" w:hAnsi="Times New Roman"/>
          <w:b w:val="false"/>
          <w:i w:val="false"/>
          <w:color w:val="000000"/>
          <w:sz w:val="22"/>
        </w:rPr>
        <w:t>(225C) and the standards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24.53(1)</w:t>
      </w:r>
      <w:r>
        <w:rPr>
          <w:rFonts w:ascii="Times New Roman" w:hAnsi="Times New Roman"/>
          <w:b w:val="false"/>
          <w:i w:val="false"/>
          <w:color w:val="000000"/>
          <w:sz w:val="22"/>
        </w:rPr>
        <w:t> </w:t>
      </w:r>
      <w:r>
        <w:rPr>
          <w:rFonts w:ascii="Times New Roman" w:hAnsi="Times New Roman"/>
          <w:b w:val="false"/>
          <w:i w:val="false"/>
          <w:color w:val="000000"/>
          <w:sz w:val="22"/>
        </w:rPr>
        <w:t xml:space="preserve">A CMHC organized as a nonprofit corporation shall be governed by a board of directors consistent with the requirements identified in Iowa Code section </w:t>
      </w:r>
      <w:hyperlink r:id="rId120">
        <w:r>
          <w:rPr>
            <w:rStyle w:val="Hyperlink"/>
            <w:rFonts w:ascii="Times New Roman" w:hAnsi="Times New Roman"/>
            <w:b w:val="false"/>
            <w:i w:val="false"/>
            <w:color w:val="000000"/>
            <w:sz w:val="22"/>
          </w:rPr>
          <w:t>230A.110(3)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24.53(2)</w:t>
      </w:r>
      <w:r>
        <w:rPr>
          <w:rFonts w:ascii="Times New Roman" w:hAnsi="Times New Roman"/>
          <w:b w:val="false"/>
          <w:i w:val="false"/>
          <w:color w:val="000000"/>
          <w:sz w:val="22"/>
        </w:rPr>
        <w:t> </w:t>
      </w:r>
      <w:r>
        <w:rPr>
          <w:rFonts w:ascii="Times New Roman" w:hAnsi="Times New Roman"/>
          <w:b w:val="false"/>
          <w:i w:val="false"/>
          <w:color w:val="000000"/>
          <w:sz w:val="22"/>
        </w:rPr>
        <w:t xml:space="preserve">A CMHC organized as a for-profit corporation shall have a policy structure that incorporates the representation identified in Iowa Code section </w:t>
      </w:r>
      <w:hyperlink r:id="rId121">
        <w:r>
          <w:rPr>
            <w:rStyle w:val="Hyperlink"/>
            <w:rFonts w:ascii="Times New Roman" w:hAnsi="Times New Roman"/>
            <w:b w:val="false"/>
            <w:i w:val="false"/>
            <w:color w:val="000000"/>
            <w:sz w:val="22"/>
          </w:rPr>
          <w:t>230A.110(3)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441—24.54</w:t>
      </w:r>
      <w:r>
        <w:rPr>
          <w:rFonts w:ascii="Times New Roman" w:hAnsi="Times New Roman"/>
          <w:b/>
          <w:i w:val="false"/>
          <w:color w:val="000000"/>
          <w:sz w:val="22"/>
        </w:rPr>
        <w:t xml:space="preserve">(230A) </w:t>
      </w:r>
      <w:r>
        <w:rPr>
          <w:rFonts w:ascii="Times New Roman" w:hAnsi="Times New Roman"/>
          <w:b/>
          <w:i w:val="false"/>
          <w:color w:val="000000"/>
          <w:sz w:val="22"/>
        </w:rPr>
        <w:t xml:space="preserve">Standards for core services and supports.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24.54(1)</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Outpatient services include outpatient psychotherapy and counseling services and evaluation. These services are to be provided directly by the CMHC.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Outpatient psychotherapy and counseling services shall be provided in accordance with </w:t>
      </w:r>
      <w:hyperlink r:id="rId122">
        <w:r>
          <w:rPr>
            <w:rStyle w:val="Hyperlink"/>
            <w:rFonts w:ascii="Times New Roman" w:hAnsi="Times New Roman"/>
            <w:b w:val="false"/>
            <w:i w:val="false"/>
            <w:color w:val="000000"/>
            <w:sz w:val="22"/>
          </w:rPr>
          <w:t>subrule 24.4(14)</w:t>
        </w:r>
      </w:hyperlink>
      <w:r>
        <w:rPr>
          <w:rFonts w:ascii="Times New Roman" w:hAnsi="Times New Roman"/>
          <w:b w:val="false"/>
          <w:i w:val="false"/>
          <w:color w:val="000000"/>
          <w:sz w:val="22"/>
        </w:rPr>
        <w:t xml:space="preserve"> and shall include treatment modalities and evidence-based practices for children, adults, older adults, individuals with co-occurring conditions, and individuals discharged from inpatient settings. Clinical eligibility is determined at the time of initial assessment and annually thereafter in accordance with </w:t>
      </w:r>
      <w:hyperlink r:id="rId123">
        <w:r>
          <w:rPr>
            <w:rStyle w:val="Hyperlink"/>
            <w:rFonts w:ascii="Times New Roman" w:hAnsi="Times New Roman"/>
            <w:b w:val="false"/>
            <w:i w:val="false"/>
            <w:color w:val="000000"/>
            <w:sz w:val="22"/>
          </w:rPr>
          <w:t>subrule 24.4(2)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services shall be provided in accordance with </w:t>
      </w:r>
      <w:hyperlink r:id="rId124">
        <w:r>
          <w:rPr>
            <w:rStyle w:val="Hyperlink"/>
            <w:rFonts w:ascii="Times New Roman" w:hAnsi="Times New Roman"/>
            <w:b w:val="false"/>
            <w:i w:val="false"/>
            <w:color w:val="000000"/>
            <w:sz w:val="22"/>
          </w:rPr>
          <w:t>subrule 24.4(16)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24.54(2)</w:t>
      </w:r>
      <w:r>
        <w:rPr>
          <w:rFonts w:ascii="Times New Roman" w:hAnsi="Times New Roman"/>
          <w:b w:val="false"/>
          <w:i w:val="false"/>
          <w:color w:val="000000"/>
          <w:sz w:val="22"/>
        </w:rPr>
        <w:t> </w:t>
      </w:r>
      <w:r>
        <w:rPr>
          <w:rFonts w:ascii="Times New Roman" w:hAnsi="Times New Roman"/>
          <w:b w:val="false"/>
          <w:i/>
          <w:color w:val="000000"/>
          <w:sz w:val="22"/>
        </w:rPr>
        <w:t xml:space="preserve">Twenty-four-hour emergency services. </w:t>
      </w:r>
      <w:r>
        <w:rPr>
          <w:rFonts w:ascii="Times New Roman" w:hAnsi="Times New Roman"/>
          <w:b w:val="false"/>
          <w:i w:val="false"/>
          <w:color w:val="000000"/>
          <w:sz w:val="22"/>
        </w:rPr>
        <w:t>The organization shall provide or enter into a formal agreement with an accredited provider for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provided in accordance with </w:t>
      </w:r>
      <w:hyperlink r:id="rId125">
        <w:r>
          <w:rPr>
            <w:rStyle w:val="Hyperlink"/>
            <w:rFonts w:ascii="Times New Roman" w:hAnsi="Times New Roman"/>
            <w:b w:val="false"/>
            <w:i w:val="false"/>
            <w:color w:val="000000"/>
            <w:sz w:val="22"/>
          </w:rPr>
          <w:t>subrule 24.4(15)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Twenty-four-hour crisis response provided in accordance with rule </w:t>
      </w:r>
      <w:hyperlink r:id="rId126">
        <w:r>
          <w:rPr>
            <w:rStyle w:val="Hyperlink"/>
            <w:rFonts w:ascii="Times New Roman" w:hAnsi="Times New Roman"/>
            <w:b w:val="false"/>
            <w:i w:val="false"/>
            <w:color w:val="000000"/>
            <w:sz w:val="22"/>
          </w:rPr>
          <w:t>441—24.33</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24.54(3)</w:t>
      </w:r>
      <w:r>
        <w:rPr>
          <w:rFonts w:ascii="Times New Roman" w:hAnsi="Times New Roman"/>
          <w:b w:val="false"/>
          <w:i w:val="false"/>
          <w:color w:val="000000"/>
          <w:sz w:val="22"/>
        </w:rPr>
        <w:t> </w:t>
      </w:r>
      <w:r>
        <w:rPr>
          <w:rFonts w:ascii="Times New Roman" w:hAnsi="Times New Roman"/>
          <w:b w:val="false"/>
          <w:i/>
          <w:color w:val="000000"/>
          <w:sz w:val="22"/>
        </w:rPr>
        <w:t xml:space="preserve">Day treatment, partial hospitalization, or psychosocial rehabilitation services. </w:t>
      </w:r>
      <w:r>
        <w:rPr>
          <w:rFonts w:ascii="Times New Roman" w:hAnsi="Times New Roman"/>
          <w:b w:val="false"/>
          <w:i w:val="false"/>
          <w:color w:val="000000"/>
          <w:sz w:val="22"/>
        </w:rPr>
        <w:t>The organization shall provide or enter into a formal agreement with an accredited provider for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Day treatment provided in accordance with </w:t>
      </w:r>
      <w:hyperlink r:id="rId127">
        <w:r>
          <w:rPr>
            <w:rStyle w:val="Hyperlink"/>
            <w:rFonts w:ascii="Times New Roman" w:hAnsi="Times New Roman"/>
            <w:b w:val="false"/>
            <w:i w:val="false"/>
            <w:color w:val="000000"/>
            <w:sz w:val="22"/>
          </w:rPr>
          <w:t>subrule 24.4(10)</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hospitalization provided in accordance with </w:t>
      </w:r>
      <w:hyperlink r:id="rId128">
        <w:r>
          <w:rPr>
            <w:rStyle w:val="Hyperlink"/>
            <w:rFonts w:ascii="Times New Roman" w:hAnsi="Times New Roman"/>
            <w:b w:val="false"/>
            <w:i w:val="false"/>
            <w:color w:val="000000"/>
            <w:sz w:val="22"/>
          </w:rPr>
          <w:t>subrule 24.4(13)</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This shall include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Assertive community treatment (ACT) provided in accordance with </w:t>
      </w:r>
      <w:hyperlink r:id="rId129">
        <w:r>
          <w:rPr>
            <w:rStyle w:val="Hyperlink"/>
            <w:rFonts w:ascii="Times New Roman" w:hAnsi="Times New Roman"/>
            <w:b w:val="false"/>
            <w:i w:val="false"/>
            <w:color w:val="000000"/>
            <w:sz w:val="22"/>
          </w:rPr>
          <w:t>441—subrule 25.6(2)</w:t>
        </w:r>
      </w:hyperlink>
      <w:r>
        <w:rPr>
          <w:rFonts w:ascii="Times New Roman" w:hAnsi="Times New Roman"/>
          <w:b w:val="false"/>
          <w:i w:val="false"/>
          <w:color w:val="000000"/>
          <w:sz w:val="22"/>
        </w:rPr>
        <w:t xml:space="preserve"> and rule </w:t>
      </w:r>
      <w:hyperlink r:id="rId130">
        <w:r>
          <w:rPr>
            <w:rStyle w:val="Hyperlink"/>
            <w:rFonts w:ascii="Times New Roman" w:hAnsi="Times New Roman"/>
            <w:b w:val="false"/>
            <w:i w:val="false"/>
            <w:color w:val="000000"/>
            <w:sz w:val="22"/>
          </w:rPr>
          <w:t>441—77.38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Intensive psychiatric rehabilitation services provided in accordance with </w:t>
      </w:r>
      <w:hyperlink r:id="rId131">
        <w:r>
          <w:rPr>
            <w:rStyle w:val="Hyperlink"/>
            <w:rFonts w:ascii="Times New Roman" w:hAnsi="Times New Roman"/>
            <w:b w:val="false"/>
            <w:i w:val="false"/>
            <w:color w:val="000000"/>
            <w:sz w:val="22"/>
          </w:rPr>
          <w:t>subrule 24.4(11)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24.54(4)</w:t>
      </w:r>
      <w:r>
        <w:rPr>
          <w:rFonts w:ascii="Times New Roman" w:hAnsi="Times New Roman"/>
          <w:b w:val="false"/>
          <w:i w:val="false"/>
          <w:color w:val="000000"/>
          <w:sz w:val="22"/>
        </w:rPr>
        <w:t> </w:t>
      </w:r>
      <w:r>
        <w:rPr>
          <w:rFonts w:ascii="Times New Roman" w:hAnsi="Times New Roman"/>
          <w:b w:val="false"/>
          <w:i/>
          <w:color w:val="000000"/>
          <w:sz w:val="22"/>
        </w:rPr>
        <w:t xml:space="preserve">Admission screening for voluntary patients to a state mental health institute.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Screening and evaluation shall be made available to individuals requesting admission to a state mental health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policies and procedures that define the process to assist an individual seeking voluntary admission to a state mental health institute and to refer the individual to other services if treatment at the mental health institute is not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24.54(5)</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services (CSS). </w:t>
      </w:r>
      <w:r>
        <w:rPr>
          <w:rFonts w:ascii="Times New Roman" w:hAnsi="Times New Roman"/>
          <w:b w:val="false"/>
          <w:i w:val="false"/>
          <w:color w:val="000000"/>
          <w:sz w:val="22"/>
        </w:rPr>
        <w:t>The purpose of CSS is to support individuals as they live and work in the community and address mental health symptoms and functional impairments that negatively affect integration and stability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Performance benchmark.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staff provide CSS.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CSS is provided to individuals in the target population with a mental illness and functional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Performance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staff qualifications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knowledge and experience in working with the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the ability to create relationships with the individuals served that balance support of the mental illness and the need to allow for maximum individual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with 30 semester hours or equivalent quarter hours in a human services field, including but not limited to psychology, social work, mental health counseling, marriage and family therapy, nursing, education,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minimum of 12 hours of training within the first year of employment and annually in mental health conditions, including but not limited to the following topics: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Mental health diagnoses, symptomology, and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Crisis management, intervention, and de-escalation;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Psychiatric medications, common medications, and potential side effects;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diagnoses or conditions present in the population served;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person-centered service plan, crisis plan, and behavioral support plan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service components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of mental health symptoms and functioning/reality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individuals attend appointments and obtain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Crisis intervention and developing a crisis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Coordination and development of natural support systems for mental health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24.54(6)</w:t>
      </w:r>
      <w:r>
        <w:rPr>
          <w:rFonts w:ascii="Times New Roman" w:hAnsi="Times New Roman"/>
          <w:b w:val="false"/>
          <w:i w:val="false"/>
          <w:color w:val="000000"/>
          <w:sz w:val="22"/>
        </w:rPr>
        <w:t> </w:t>
      </w:r>
      <w:r>
        <w:rPr>
          <w:rFonts w:ascii="Times New Roman" w:hAnsi="Times New Roman"/>
          <w:b w:val="false"/>
          <w:i/>
          <w:color w:val="000000"/>
          <w:sz w:val="22"/>
        </w:rPr>
        <w:t xml:space="preserve">Consultation services. </w:t>
      </w:r>
      <w:r>
        <w:rPr>
          <w:rFonts w:ascii="Times New Roman" w:hAnsi="Times New Roman"/>
          <w:b w:val="false"/>
          <w:i w:val="false"/>
          <w:color w:val="000000"/>
          <w:sz w:val="22"/>
        </w:rPr>
        <w:t xml:space="preserve">Consultation services shall be provided in accordance with Iowa Code section </w:t>
      </w:r>
      <w:hyperlink r:id="rId132">
        <w:r>
          <w:rPr>
            <w:rStyle w:val="Hyperlink"/>
            <w:rFonts w:ascii="Times New Roman" w:hAnsi="Times New Roman"/>
            <w:b w:val="false"/>
            <w:i w:val="false"/>
            <w:color w:val="000000"/>
            <w:sz w:val="22"/>
          </w:rPr>
          <w:t>230A.106(2)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24.54(7)</w:t>
      </w:r>
      <w:r>
        <w:rPr>
          <w:rFonts w:ascii="Times New Roman" w:hAnsi="Times New Roman"/>
          <w:b w:val="false"/>
          <w:i w:val="false"/>
          <w:color w:val="000000"/>
          <w:sz w:val="22"/>
        </w:rPr>
        <w:t> </w:t>
      </w:r>
      <w:r>
        <w:rPr>
          <w:rFonts w:ascii="Times New Roman" w:hAnsi="Times New Roman"/>
          <w:b w:val="false"/>
          <w:i/>
          <w:color w:val="000000"/>
          <w:sz w:val="22"/>
        </w:rPr>
        <w:t xml:space="preserve">Education services. </w:t>
      </w:r>
      <w:r>
        <w:rPr>
          <w:rFonts w:ascii="Times New Roman" w:hAnsi="Times New Roman"/>
          <w:b w:val="false"/>
          <w:i w:val="false"/>
          <w:color w:val="000000"/>
          <w:sz w:val="22"/>
        </w:rPr>
        <w:t xml:space="preserve">Education services shall be provided in accordance with Iowa Code section </w:t>
      </w:r>
      <w:hyperlink r:id="rId133">
        <w:r>
          <w:rPr>
            <w:rStyle w:val="Hyperlink"/>
            <w:rFonts w:ascii="Times New Roman" w:hAnsi="Times New Roman"/>
            <w:b w:val="false"/>
            <w:i w:val="false"/>
            <w:color w:val="000000"/>
            <w:sz w:val="22"/>
          </w:rPr>
          <w:t>230A.106(2)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24.54(8)</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unaffiliated agencies. </w:t>
      </w:r>
      <w:r>
        <w:rPr>
          <w:rFonts w:ascii="Times New Roman" w:hAnsi="Times New Roman"/>
          <w:b w:val="false"/>
          <w:i w:val="false"/>
          <w:color w:val="000000"/>
          <w:sz w:val="22"/>
        </w:rPr>
        <w:t xml:space="preserve">Coordination shall be provided in accordance with Iowa Code section </w:t>
      </w:r>
      <w:hyperlink r:id="rId134">
        <w:r>
          <w:rPr>
            <w:rStyle w:val="Hyperlink"/>
            <w:rFonts w:ascii="Times New Roman" w:hAnsi="Times New Roman"/>
            <w:b w:val="false"/>
            <w:i w:val="false"/>
            <w:color w:val="000000"/>
            <w:sz w:val="22"/>
          </w:rPr>
          <w:t>230A.106(3)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441—24.55</w:t>
      </w:r>
      <w:r>
        <w:rPr>
          <w:rFonts w:ascii="Times New Roman" w:hAnsi="Times New Roman"/>
          <w:b/>
          <w:i w:val="false"/>
          <w:color w:val="000000"/>
          <w:sz w:val="22"/>
        </w:rPr>
        <w:t xml:space="preserve">(230A) </w:t>
      </w:r>
      <w:r>
        <w:rPr>
          <w:rFonts w:ascii="Times New Roman" w:hAnsi="Times New Roman"/>
          <w:b/>
          <w:i w:val="false"/>
          <w:color w:val="000000"/>
          <w:sz w:val="22"/>
        </w:rPr>
        <w:t xml:space="preserve">Accreditation of community mental health centers.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be accredited as a provider of outpatient psychotherapy and counseling pursuant to </w:t>
      </w:r>
      <w:hyperlink r:id="rId135">
        <w:r>
          <w:rPr>
            <w:rStyle w:val="Hyperlink"/>
            <w:rFonts w:ascii="Times New Roman" w:hAnsi="Times New Roman"/>
            <w:b w:val="false"/>
            <w:i w:val="false"/>
            <w:color w:val="000000"/>
            <w:sz w:val="22"/>
          </w:rPr>
          <w:t>subrule 24.4(14)</w:t>
        </w:r>
      </w:hyperlink>
      <w:r>
        <w:rPr>
          <w:rFonts w:ascii="Times New Roman" w:hAnsi="Times New Roman"/>
          <w:b w:val="false"/>
          <w:i w:val="false"/>
          <w:color w:val="000000"/>
          <w:sz w:val="22"/>
        </w:rPr>
        <w:t xml:space="preserve"> and evaluation pursuant to </w:t>
      </w:r>
      <w:hyperlink r:id="rId136">
        <w:r>
          <w:rPr>
            <w:rStyle w:val="Hyperlink"/>
            <w:rFonts w:ascii="Times New Roman" w:hAnsi="Times New Roman"/>
            <w:b w:val="false"/>
            <w:i w:val="false"/>
            <w:color w:val="000000"/>
            <w:sz w:val="22"/>
          </w:rPr>
          <w:t>subrule 24.4(16)</w:t>
        </w:r>
      </w:hyperlink>
      <w:r>
        <w:rPr>
          <w:rFonts w:ascii="Times New Roman" w:hAnsi="Times New Roman"/>
          <w:b w:val="false"/>
          <w:i w:val="false"/>
          <w:color w:val="000000"/>
          <w:sz w:val="22"/>
        </w:rPr>
        <w:t xml:space="preserve"> and meet the standards of rule </w:t>
      </w:r>
      <w:hyperlink r:id="rId137">
        <w:r>
          <w:rPr>
            <w:rStyle w:val="Hyperlink"/>
            <w:rFonts w:ascii="Times New Roman" w:hAnsi="Times New Roman"/>
            <w:b w:val="false"/>
            <w:i w:val="false"/>
            <w:color w:val="000000"/>
            <w:sz w:val="22"/>
          </w:rPr>
          <w:t>441—24.3</w:t>
        </w:r>
      </w:hyperlink>
      <w:r>
        <w:rPr>
          <w:rFonts w:ascii="Times New Roman" w:hAnsi="Times New Roman"/>
          <w:b w:val="false"/>
          <w:i w:val="false"/>
          <w:color w:val="000000"/>
          <w:sz w:val="22"/>
        </w:rPr>
        <w:t>(225C).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meet the standards in rules </w:t>
      </w:r>
      <w:hyperlink r:id="rId138">
        <w:r>
          <w:rPr>
            <w:rStyle w:val="Hyperlink"/>
            <w:rFonts w:ascii="Times New Roman" w:hAnsi="Times New Roman"/>
            <w:b w:val="false"/>
            <w:i w:val="false"/>
            <w:color w:val="000000"/>
            <w:sz w:val="22"/>
          </w:rPr>
          <w:t>441—24.52</w:t>
        </w:r>
      </w:hyperlink>
      <w:r>
        <w:rPr>
          <w:rFonts w:ascii="Times New Roman" w:hAnsi="Times New Roman"/>
          <w:b w:val="false"/>
          <w:i w:val="false"/>
          <w:color w:val="000000"/>
          <w:sz w:val="22"/>
        </w:rPr>
        <w:t xml:space="preserve">(230A), </w:t>
      </w:r>
      <w:hyperlink r:id="rId139">
        <w:r>
          <w:rPr>
            <w:rStyle w:val="Hyperlink"/>
            <w:rFonts w:ascii="Times New Roman" w:hAnsi="Times New Roman"/>
            <w:b w:val="false"/>
            <w:i w:val="false"/>
            <w:color w:val="000000"/>
            <w:sz w:val="22"/>
          </w:rPr>
          <w:t>441—24.53</w:t>
        </w:r>
      </w:hyperlink>
      <w:r>
        <w:rPr>
          <w:rFonts w:ascii="Times New Roman" w:hAnsi="Times New Roman"/>
          <w:b w:val="false"/>
          <w:i w:val="false"/>
          <w:color w:val="000000"/>
          <w:sz w:val="22"/>
        </w:rPr>
        <w:t xml:space="preserve">(230A), and </w:t>
      </w:r>
      <w:hyperlink r:id="rId140">
        <w:r>
          <w:rPr>
            <w:rStyle w:val="Hyperlink"/>
            <w:rFonts w:ascii="Times New Roman" w:hAnsi="Times New Roman"/>
            <w:b w:val="false"/>
            <w:i w:val="false"/>
            <w:color w:val="000000"/>
            <w:sz w:val="22"/>
          </w:rPr>
          <w:t>441—24.54</w:t>
        </w:r>
      </w:hyperlink>
      <w:r>
        <w:rPr>
          <w:rFonts w:ascii="Times New Roman" w:hAnsi="Times New Roman"/>
          <w:b w:val="false"/>
          <w:i w:val="false"/>
          <w:color w:val="000000"/>
          <w:sz w:val="22"/>
        </w:rPr>
        <w:t>(230A). Corrective action is required when any indicator under community mental health designation standards is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24.55(3)</w:t>
      </w:r>
      <w:r>
        <w:rPr>
          <w:rFonts w:ascii="Times New Roman" w:hAnsi="Times New Roman"/>
          <w:b w:val="false"/>
          <w:i w:val="false"/>
          <w:color w:val="000000"/>
          <w:sz w:val="22"/>
        </w:rPr>
        <w:t> </w:t>
      </w:r>
      <w:r>
        <w:rPr>
          <w:rFonts w:ascii="Times New Roman" w:hAnsi="Times New Roman"/>
          <w:b w:val="false"/>
          <w:i w:val="false"/>
          <w:color w:val="000000"/>
          <w:sz w:val="22"/>
        </w:rPr>
        <w:t>The provider shall annually submit Form 470-5692, Community Mental Health Center Self-Assessment,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6321C</w:t>
      </w:r>
      <w:r>
        <w:rPr>
          <w:rFonts w:ascii="Times New Roman" w:hAnsi="Times New Roman"/>
          <w:b w:val="false"/>
          <w:i w:val="false"/>
          <w:color w:val="000000"/>
          <w:sz w:val="16"/>
        </w:rPr>
        <w:t>, IAB 5/18/22, effective 7/1/22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9/5/85, Notice 7/3/85—published 9/25/85, effective 11/1/85]</w:t>
      </w:r>
    </w:p>
    <w:p>
      <w:pPr>
        <w:spacing w:before="0" w:after="0"/>
        <w:ind w:left="120"/>
        <w:jc w:val="center"/>
      </w:pPr>
      <w:r>
        <w:rPr>
          <w:rFonts w:ascii="Times New Roman" w:hAnsi="Times New Roman"/>
          <w:b w:val="false"/>
          <w:i w:val="false"/>
          <w:color w:val="000000"/>
          <w:sz w:val="21"/>
        </w:rPr>
        <w:t>[Filed 4/4/86, Notice 1/29/86—published 4/23/86, effective 6/1/86]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9/2/88, Notice 7/13/88—published 9/21/88, effective 11/1/88]</w:t>
      </w:r>
    </w:p>
    <w:p>
      <w:pPr>
        <w:spacing w:before="0" w:after="0"/>
        <w:ind w:left="120"/>
        <w:jc w:val="center"/>
      </w:pPr>
      <w:r>
        <w:rPr>
          <w:rFonts w:ascii="Times New Roman" w:hAnsi="Times New Roman"/>
          <w:b w:val="false"/>
          <w:i w:val="false"/>
          <w:color w:val="000000"/>
          <w:sz w:val="21"/>
        </w:rPr>
        <w:t>[Filed emergency 12/12/88 after Notice 9/21/88—published 12/28/88, effective 1/1/89]</w:t>
      </w:r>
    </w:p>
    <w:p>
      <w:pPr>
        <w:spacing w:before="0" w:after="0"/>
        <w:ind w:left="120"/>
        <w:jc w:val="center"/>
      </w:pPr>
      <w:r>
        <w:rPr>
          <w:rFonts w:ascii="Times New Roman" w:hAnsi="Times New Roman"/>
          <w:b w:val="false"/>
          <w:i w:val="false"/>
          <w:color w:val="000000"/>
          <w:sz w:val="21"/>
        </w:rPr>
        <w:t>[Filed 3/9/89, Notice 1/25/89—published 4/5/89, effective 5/10/89]</w:t>
      </w:r>
    </w:p>
    <w:p>
      <w:pPr>
        <w:spacing w:before="0" w:after="0"/>
        <w:ind w:left="120"/>
        <w:jc w:val="center"/>
      </w:pPr>
      <w:r>
        <w:rPr>
          <w:rFonts w:ascii="Times New Roman" w:hAnsi="Times New Roman"/>
          <w:b w:val="false"/>
          <w:i w:val="false"/>
          <w:color w:val="000000"/>
          <w:sz w:val="21"/>
        </w:rPr>
        <w:t>[Filed 2/14/91, Notice 11/28/90—published 3/6/91, effective 5/1/91]</w:t>
      </w:r>
    </w:p>
    <w:p>
      <w:pPr>
        <w:spacing w:before="0" w:after="0"/>
        <w:ind w:left="120"/>
        <w:jc w:val="center"/>
      </w:pPr>
      <w:r>
        <w:rPr>
          <w:rFonts w:ascii="Times New Roman" w:hAnsi="Times New Roman"/>
          <w:b w:val="false"/>
          <w:i w:val="false"/>
          <w:color w:val="000000"/>
          <w:sz w:val="21"/>
        </w:rPr>
        <w:t>[Filed 9/8/93, Notice 4/28/93—published 9/29/93, effective 12/1/93]</w:t>
      </w:r>
    </w:p>
    <w:p>
      <w:pPr>
        <w:spacing w:before="0" w:after="0"/>
        <w:ind w:left="120"/>
        <w:jc w:val="center"/>
      </w:pPr>
      <w:r>
        <w:rPr>
          <w:rFonts w:ascii="Times New Roman" w:hAnsi="Times New Roman"/>
          <w:b w:val="false"/>
          <w:i w:val="false"/>
          <w:color w:val="000000"/>
          <w:sz w:val="21"/>
        </w:rPr>
        <w:t>[Filed 3/10/95, Notice 1/4/95—published 3/29/95, effective 5/3/95]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3/5/97, Notice 1/1/97—published 3/26/97, effective 5/1/97]</w:t>
      </w:r>
    </w:p>
    <w:p>
      <w:pPr>
        <w:spacing w:before="0" w:after="0"/>
        <w:ind w:left="120"/>
        <w:jc w:val="center"/>
      </w:pPr>
      <w:r>
        <w:rPr>
          <w:rFonts w:ascii="Times New Roman" w:hAnsi="Times New Roman"/>
          <w:b w:val="false"/>
          <w:i w:val="false"/>
          <w:color w:val="000000"/>
          <w:sz w:val="21"/>
        </w:rPr>
        <w:t>[Filed 5/14/97, Notice 3/12/97—published 6/4/97, effective 8/1/97]</w:t>
      </w:r>
    </w:p>
    <w:p>
      <w:pPr>
        <w:spacing w:before="0" w:after="0"/>
        <w:ind w:left="120"/>
        <w:jc w:val="center"/>
      </w:pPr>
      <w:r>
        <w:rPr>
          <w:rFonts w:ascii="Times New Roman" w:hAnsi="Times New Roman"/>
          <w:b w:val="false"/>
          <w:i w:val="false"/>
          <w:color w:val="000000"/>
          <w:sz w:val="21"/>
        </w:rPr>
        <w:t>[Filed 5/6/98, Notice 3/25/98—published 6/3/98, effective 8/1/98]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3/3/99, Notice 12/30/98—published 3/24/99, effective 5/1/99]</w:t>
      </w:r>
    </w:p>
    <w:p>
      <w:pPr>
        <w:spacing w:before="0" w:after="0"/>
        <w:ind w:left="120"/>
        <w:jc w:val="center"/>
      </w:pPr>
      <w:r>
        <w:rPr>
          <w:rFonts w:ascii="Times New Roman" w:hAnsi="Times New Roman"/>
          <w:b w:val="false"/>
          <w:i w:val="false"/>
          <w:color w:val="000000"/>
          <w:sz w:val="21"/>
        </w:rPr>
        <w:t>[Filed 4/5/00, Notice 2/9/00—published 5/3/00, effective 7/1/00]</w:t>
      </w:r>
    </w:p>
    <w:p>
      <w:pPr>
        <w:spacing w:before="0" w:after="0"/>
        <w:ind w:left="120"/>
        <w:jc w:val="center"/>
      </w:pPr>
      <w:r>
        <w:rPr>
          <w:rFonts w:ascii="Times New Roman" w:hAnsi="Times New Roman"/>
          <w:b w:val="false"/>
          <w:i w:val="false"/>
          <w:color w:val="000000"/>
          <w:sz w:val="21"/>
        </w:rPr>
        <w:t>[Filed 5/10/02, Notice 12/26/01—published 5/29/02, effective 9/1/02]</w:t>
      </w:r>
    </w:p>
    <w:p>
      <w:pPr>
        <w:spacing w:before="0" w:after="0"/>
        <w:ind w:left="120"/>
        <w:jc w:val="center"/>
      </w:pPr>
      <w:r>
        <w:rPr>
          <w:rFonts w:ascii="Times New Roman" w:hAnsi="Times New Roman"/>
          <w:b w:val="false"/>
          <w:i w:val="false"/>
          <w:color w:val="000000"/>
          <w:sz w:val="21"/>
        </w:rPr>
        <w:t>[Filed emergency 9/22/05—published 10/12/05, effective 10/1/05]</w:t>
      </w:r>
    </w:p>
    <w:p>
      <w:pPr>
        <w:spacing w:before="0" w:after="0"/>
        <w:ind w:left="120"/>
        <w:jc w:val="center"/>
      </w:pPr>
      <w:r>
        <w:rPr>
          <w:rFonts w:ascii="Times New Roman" w:hAnsi="Times New Roman"/>
          <w:b w:val="false"/>
          <w:i w:val="false"/>
          <w:color w:val="000000"/>
          <w:sz w:val="21"/>
        </w:rPr>
        <w:t>[Filed 11/22/05, Notice 10/12/05—published 12/21/05, effective 1/25/06]</w:t>
      </w:r>
    </w:p>
    <w:p>
      <w:pPr>
        <w:spacing w:before="0" w:after="0"/>
        <w:ind w:left="120"/>
        <w:jc w:val="center"/>
      </w:pPr>
      <w:r>
        <w:rPr>
          <w:rFonts w:ascii="Times New Roman" w:hAnsi="Times New Roman"/>
          <w:b w:val="false"/>
          <w:i w:val="false"/>
          <w:color w:val="000000"/>
          <w:sz w:val="21"/>
        </w:rPr>
        <w:t>[Filed 4/21/06, Notice 12/21/05—published 5/10/06, effective 7/1/06]</w:t>
      </w:r>
    </w:p>
    <w:p>
      <w:pPr>
        <w:spacing w:before="0" w:after="0"/>
        <w:ind w:left="120"/>
        <w:jc w:val="center"/>
      </w:pPr>
      <w:r>
        <w:rPr>
          <w:rFonts w:ascii="Times New Roman" w:hAnsi="Times New Roman"/>
          <w:b w:val="false"/>
          <w:i w:val="false"/>
          <w:color w:val="000000"/>
          <w:sz w:val="21"/>
        </w:rPr>
        <w:t>[Filed ARC 1660C</w:t>
      </w:r>
      <w:r>
        <w:rPr>
          <w:rFonts w:ascii="Times New Roman" w:hAnsi="Times New Roman"/>
          <w:b w:val="false"/>
          <w:i w:val="false"/>
          <w:color w:val="000000"/>
          <w:sz w:val="21"/>
        </w:rPr>
        <w:t xml:space="preserve"> (Notice ARC 1554C, IAB 7/23/14)</w:t>
      </w:r>
      <w:r>
        <w:rPr>
          <w:rFonts w:ascii="Times New Roman" w:hAnsi="Times New Roman"/>
          <w:b w:val="false"/>
          <w:i w:val="false"/>
          <w:color w:val="000000"/>
          <w:sz w:val="21"/>
        </w:rPr>
        <w:t>, IAB 10/15/14, effective 12/1/14]</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ARC 3057C</w:t>
      </w:r>
      <w:r>
        <w:rPr>
          <w:rFonts w:ascii="Times New Roman" w:hAnsi="Times New Roman"/>
          <w:b w:val="false"/>
          <w:i w:val="false"/>
          <w:color w:val="000000"/>
          <w:sz w:val="21"/>
        </w:rPr>
        <w:t xml:space="preserve"> (Notice ARC 2971C, IAB 3/15/17)</w:t>
      </w:r>
      <w:r>
        <w:rPr>
          <w:rFonts w:ascii="Times New Roman" w:hAnsi="Times New Roman"/>
          <w:b w:val="false"/>
          <w:i w:val="false"/>
          <w:color w:val="000000"/>
          <w:sz w:val="21"/>
        </w:rPr>
        <w:t>, IAB 5/10/17, effective 7/1/17]</w:t>
      </w:r>
    </w:p>
    <w:p>
      <w:pPr>
        <w:spacing w:before="0" w:after="0"/>
        <w:ind w:left="120"/>
        <w:jc w:val="center"/>
      </w:pPr>
      <w:r>
        <w:rPr>
          <w:rFonts w:ascii="Times New Roman" w:hAnsi="Times New Roman"/>
          <w:b w:val="false"/>
          <w:i w:val="false"/>
          <w:color w:val="000000"/>
          <w:sz w:val="21"/>
        </w:rPr>
        <w:t>[Filed ARC 3855C</w:t>
      </w:r>
      <w:r>
        <w:rPr>
          <w:rFonts w:ascii="Times New Roman" w:hAnsi="Times New Roman"/>
          <w:b w:val="false"/>
          <w:i w:val="false"/>
          <w:color w:val="000000"/>
          <w:sz w:val="21"/>
        </w:rPr>
        <w:t xml:space="preserve"> (Notice ARC 3732C,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6321C</w:t>
      </w:r>
      <w:r>
        <w:rPr>
          <w:rFonts w:ascii="Times New Roman" w:hAnsi="Times New Roman"/>
          <w:b w:val="false"/>
          <w:i w:val="false"/>
          <w:color w:val="000000"/>
          <w:sz w:val="21"/>
        </w:rPr>
        <w:t xml:space="preserve"> (Notice ARC 6211C, IAB 2/23/22)</w:t>
      </w:r>
      <w:r>
        <w:rPr>
          <w:rFonts w:ascii="Times New Roman" w:hAnsi="Times New Roman"/>
          <w:b w:val="false"/>
          <w:i w:val="false"/>
          <w:color w:val="000000"/>
          <w:sz w:val="21"/>
        </w:rPr>
        <w:t>, IAB 5/18/22, effective 7/1/22]</w:t>
      </w:r>
    </w:p>
    <w:p>
      <w:pPr>
        <w:pBdr>
          <w:bottom w:space="2"/>
        </w:pBdr>
        <w:spacing w:before="0" w:after="0"/>
        <w:ind w:left="120"/>
        <w:jc w:val="both"/>
      </w:pPr>
      <w:r>
        <w:rPr>
          <w:rFonts w:ascii="Times New Roman" w:hAnsi="Times New Roman"/>
          <w:b w:val="false"/>
          <w:i w:val="false"/>
          <w:color w:val="000000"/>
          <w:sz w:val="22"/>
        </w:rPr>
        <w:t>Effective date of definitions of “Administrator,” “Division” and “Persons with mental retardation” delayed 70 days by the Administrative Rules Review Committee at its meeting held April 10,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C.pdf" Type="http://schemas.openxmlformats.org/officeDocument/2006/relationships/hyperlink" Id="rId5"/>
    <Relationship TargetMode="External" Target="https://www.legis.iowa.gov/docs/ico/chapter/225C.pdf" Type="http://schemas.openxmlformats.org/officeDocument/2006/relationships/hyperlink" Id="rId6"/>
    <Relationship TargetMode="External" Target="https://www.legis.iowa.gov/docs/ico/chapter/230A.pdf" Type="http://schemas.openxmlformats.org/officeDocument/2006/relationships/hyperlink" Id="rId7"/>
    <Relationship TargetMode="External" Target="https://www.legis.iowa.gov/docs/ico/chapter/152E.pdf" Type="http://schemas.openxmlformats.org/officeDocument/2006/relationships/hyperlink" Id="rId8"/>
    <Relationship TargetMode="External" Target="https://www.legis.iowa.gov/docs/iac/chapter/655.7.pdf" Type="http://schemas.openxmlformats.org/officeDocument/2006/relationships/hyperlink" Id="rId9"/>
    <Relationship TargetMode="External" Target="https://www.legis.iowa.gov/docs/ico/chapter/225C.5.pdf" Type="http://schemas.openxmlformats.org/officeDocument/2006/relationships/hyperlink" Id="rId10"/>
    <Relationship TargetMode="External" Target="https://www.legis.iowa.gov/docs/ico/chapter/225C.pdf" Type="http://schemas.openxmlformats.org/officeDocument/2006/relationships/hyperlink" Id="rId11"/>
    <Relationship TargetMode="External" Target="https://www.legis.iowa.gov/docs/ico/chapter/230A.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50A.pdf" Type="http://schemas.openxmlformats.org/officeDocument/2006/relationships/hyperlink" Id="rId14"/>
    <Relationship TargetMode="External" Target="https://www.legis.iowa.gov/docs/ico/chapter/154D.pdf" Type="http://schemas.openxmlformats.org/officeDocument/2006/relationships/hyperlink" Id="rId15"/>
    <Relationship TargetMode="External" Target="https://www.legis.iowa.gov/docs/ico/chapter/154D.pdf" Type="http://schemas.openxmlformats.org/officeDocument/2006/relationships/hyperlink" Id="rId16"/>
    <Relationship TargetMode="External" Target="https://www.legis.iowa.gov/docs/ico/chapter/230A.pdf" Type="http://schemas.openxmlformats.org/officeDocument/2006/relationships/hyperlink" Id="rId17"/>
    <Relationship TargetMode="External" Target="https://www.legis.iowa.gov/docs/iac/chapter/441.24.pdf" Type="http://schemas.openxmlformats.org/officeDocument/2006/relationships/hyperlink" Id="rId18"/>
    <Relationship TargetMode="External" Target="https://www.legis.iowa.gov/docs/iac/chapter/441.24.pdf" Type="http://schemas.openxmlformats.org/officeDocument/2006/relationships/hyperlink" Id="rId19"/>
    <Relationship TargetMode="External" Target="https://www.legis.iowa.gov/docs/ico/chapter/490.pdf" Type="http://schemas.openxmlformats.org/officeDocument/2006/relationships/hyperlink" Id="rId20"/>
    <Relationship TargetMode="External" Target="https://www.legis.iowa.gov/docs/ico/chapter/504.pdf" Type="http://schemas.openxmlformats.org/officeDocument/2006/relationships/hyperlink" Id="rId21"/>
    <Relationship TargetMode="External" Target="https://www.legis.iowa.gov/docs/ico/chapter/147.2.pdf" Type="http://schemas.openxmlformats.org/officeDocument/2006/relationships/hyperlink" Id="rId22"/>
    <Relationship TargetMode="External" Target="https://www.legis.iowa.gov/docs/ico/chapter/152.pdf" Type="http://schemas.openxmlformats.org/officeDocument/2006/relationships/hyperlink" Id="rId23"/>
    <Relationship TargetMode="External" Target="https://www.legis.iowa.gov/docs/ico/chapter/154B.pdf" Type="http://schemas.openxmlformats.org/officeDocument/2006/relationships/hyperlink" Id="rId24"/>
    <Relationship TargetMode="External" Target="https://www.legis.iowa.gov/docs/ico/chapter/152.pdf" Type="http://schemas.openxmlformats.org/officeDocument/2006/relationships/hyperlink" Id="rId25"/>
    <Relationship TargetMode="External" Target="https://www.legis.iowa.gov/docs/iac/rule/441.24.4.pdf" Type="http://schemas.openxmlformats.org/officeDocument/2006/relationships/hyperlink" Id="rId26"/>
    <Relationship TargetMode="External" Target="https://www.legis.iowa.gov/docs/ico/chapter/135C.33.pdf" Type="http://schemas.openxmlformats.org/officeDocument/2006/relationships/hyperlink" Id="rId27"/>
    <Relationship TargetMode="External" Target="https://www.legis.iowa.gov/docs/iac/rule/441.24.4.pdf" Type="http://schemas.openxmlformats.org/officeDocument/2006/relationships/hyperlink" Id="rId28"/>
    <Relationship TargetMode="External" Target="https://www.legis.iowa.gov/docs/iac/rule/441.24.4.pdf" Type="http://schemas.openxmlformats.org/officeDocument/2006/relationships/hyperlink" Id="rId29"/>
    <Relationship TargetMode="External" Target="https://www.legis.iowa.gov/docs/iac/rule/441.24.4.pdf" Type="http://schemas.openxmlformats.org/officeDocument/2006/relationships/hyperlink" Id="rId30"/>
    <Relationship TargetMode="External" Target="https://www.legis.iowa.gov/docs/iac/rule/441.24.4.pdf" Type="http://schemas.openxmlformats.org/officeDocument/2006/relationships/hyperlink" Id="rId31"/>
    <Relationship TargetMode="External" Target="https://www.legis.iowa.gov/docs/iac/rule/441.24.4.pdf" Type="http://schemas.openxmlformats.org/officeDocument/2006/relationships/hyperlink" Id="rId32"/>
    <Relationship TargetMode="External" Target="https://www.legis.iowa.gov/docs/iac/rule/441.24.4.pdf" Type="http://schemas.openxmlformats.org/officeDocument/2006/relationships/hyperlink" Id="rId33"/>
    <Relationship TargetMode="External" Target="https://www.legis.iowa.gov/docs/iac/rule/441.24.4.pdf" Type="http://schemas.openxmlformats.org/officeDocument/2006/relationships/hyperlink" Id="rId34"/>
    <Relationship TargetMode="External" Target="https://www.legis.iowa.gov/docs/iac/rule/441.24.4.pdf" Type="http://schemas.openxmlformats.org/officeDocument/2006/relationships/hyperlink" Id="rId35"/>
    <Relationship TargetMode="External" Target="https://www.legis.iowa.gov/docs/iac/rule/441.24.4.pdf" Type="http://schemas.openxmlformats.org/officeDocument/2006/relationships/hyperlink" Id="rId36"/>
    <Relationship TargetMode="External" Target="https://www.legis.iowa.gov/docs/iac/rule/441.24.4.pdf" Type="http://schemas.openxmlformats.org/officeDocument/2006/relationships/hyperlink" Id="rId37"/>
    <Relationship TargetMode="External" Target="https://www.legis.iowa.gov/docs/ico/chapter/225C.20.pdf" Type="http://schemas.openxmlformats.org/officeDocument/2006/relationships/hyperlink" Id="rId38"/>
    <Relationship TargetMode="External" Target="https://www.legis.iowa.gov/docs/iac/rule/441.24.5.pdf" Type="http://schemas.openxmlformats.org/officeDocument/2006/relationships/hyperlink" Id="rId39"/>
    <Relationship TargetMode="External" Target="https://www.legis.iowa.gov/docs/iac/rule/441.24.5.pdf" Type="http://schemas.openxmlformats.org/officeDocument/2006/relationships/hyperlink" Id="rId40"/>
    <Relationship TargetMode="External" Target="https://www.legis.iowa.gov/docs/iac/rule/441.24.2.pdf" Type="http://schemas.openxmlformats.org/officeDocument/2006/relationships/hyperlink" Id="rId41"/>
    <Relationship TargetMode="External" Target="https://www.legis.iowa.gov/docs/iac/rule/441.24.3.pdf" Type="http://schemas.openxmlformats.org/officeDocument/2006/relationships/hyperlink" Id="rId42"/>
    <Relationship TargetMode="External" Target="https://www.legis.iowa.gov/docs/iac/rule/441.24.4.pdf" Type="http://schemas.openxmlformats.org/officeDocument/2006/relationships/hyperlink" Id="rId43"/>
    <Relationship TargetMode="External" Target="https://www.legis.iowa.gov/docs/iac/rule/441.24.6.pdf" Type="http://schemas.openxmlformats.org/officeDocument/2006/relationships/hyperlink" Id="rId44"/>
    <Relationship TargetMode="External" Target="https://www.legis.iowa.gov/docs/iac/chapter/441.7.pdf" Type="http://schemas.openxmlformats.org/officeDocument/2006/relationships/hyperlink" Id="rId45"/>
    <Relationship TargetMode="External" Target="https://www.legis.iowa.gov/docs/iac/rule/441.24.5.pdf" Type="http://schemas.openxmlformats.org/officeDocument/2006/relationships/hyperlink" Id="rId46"/>
    <Relationship TargetMode="External" Target="https://www.legis.iowa.gov/docs/iac/rule/441.24.6.pdf" Type="http://schemas.openxmlformats.org/officeDocument/2006/relationships/hyperlink" Id="rId47"/>
    <Relationship TargetMode="External" Target="https://www.legis.iowa.gov/docs/iac/rule/441.77.37.pdf" Type="http://schemas.openxmlformats.org/officeDocument/2006/relationships/hyperlink" Id="rId48"/>
    <Relationship TargetMode="External" Target="https://www.legis.iowa.gov/docs/iac/rule/441.24.4.pdf" Type="http://schemas.openxmlformats.org/officeDocument/2006/relationships/hyperlink" Id="rId49"/>
    <Relationship TargetMode="External" Target="https://www.legis.iowa.gov/docs/iac/rule/441.24.7.pdf" Type="http://schemas.openxmlformats.org/officeDocument/2006/relationships/hyperlink" Id="rId50"/>
    <Relationship TargetMode="External" Target="https://www.legis.iowa.gov/docs/iac/chapter/441.7.pdf" Type="http://schemas.openxmlformats.org/officeDocument/2006/relationships/hyperlink" Id="rId51"/>
    <Relationship TargetMode="External" Target="https://www.legis.iowa.gov/docs/iac/rule/441.1.8.pdf" Type="http://schemas.openxmlformats.org/officeDocument/2006/relationships/hyperlink" Id="rId52"/>
    <Relationship TargetMode="External" Target="https://www.legis.iowa.gov/docs/ico/chapter/225C.pdf" Type="http://schemas.openxmlformats.org/officeDocument/2006/relationships/hyperlink" Id="rId53"/>
    <Relationship TargetMode="External" Target="https://www.legis.iowa.gov/docs/iac/rule/441.24.24.pdf" Type="http://schemas.openxmlformats.org/officeDocument/2006/relationships/hyperlink" Id="rId54"/>
    <Relationship TargetMode="External" Target="https://www.legis.iowa.gov/docs/iac/rule/441.25.1.pdf" Type="http://schemas.openxmlformats.org/officeDocument/2006/relationships/hyperlink" Id="rId55"/>
    <Relationship TargetMode="External" Target="https://www.legis.iowa.gov/docs/iac/rule/441.24.1.pdf" Type="http://schemas.openxmlformats.org/officeDocument/2006/relationships/hyperlink" Id="rId56"/>
    <Relationship TargetMode="External" Target="https://www.legis.iowa.gov/docs/ico/chapter/228.1.pdf" Type="http://schemas.openxmlformats.org/officeDocument/2006/relationships/hyperlink" Id="rId57"/>
    <Relationship TargetMode="External" Target="https://www.legis.iowa.gov/docs/iac/rule/441.25.1.pdf" Type="http://schemas.openxmlformats.org/officeDocument/2006/relationships/hyperlink" Id="rId58"/>
    <Relationship TargetMode="External" Target="https://www.legis.iowa.gov/docs/ico/chapter/155A.3.pdf" Type="http://schemas.openxmlformats.org/officeDocument/2006/relationships/hyperlink" Id="rId59"/>
    <Relationship TargetMode="External" Target="https://www.legis.iowa.gov/docs/ico/chapter/147.107.pdf" Type="http://schemas.openxmlformats.org/officeDocument/2006/relationships/hyperlink" Id="rId60"/>
    <Relationship TargetMode="External" Target="https://www.legis.iowa.gov/docs/iac/rule/441.24.2.pdf" Type="http://schemas.openxmlformats.org/officeDocument/2006/relationships/hyperlink" Id="rId61"/>
    <Relationship TargetMode="External" Target="https://www.legis.iowa.gov/docs/iac/rule/441.24.3.pdf" Type="http://schemas.openxmlformats.org/officeDocument/2006/relationships/hyperlink" Id="rId62"/>
    <Relationship TargetMode="External" Target="https://www.legis.iowa.gov/docs/iac/rule/441.24.3.pdf" Type="http://schemas.openxmlformats.org/officeDocument/2006/relationships/hyperlink" Id="rId63"/>
    <Relationship TargetMode="External" Target="https://www.legis.iowa.gov/docs/iac/rule/441.24.32.pdf" Type="http://schemas.openxmlformats.org/officeDocument/2006/relationships/hyperlink" Id="rId64"/>
    <Relationship TargetMode="External" Target="https://www.legis.iowa.gov/docs/iac/rule/441.24.39.pdf" Type="http://schemas.openxmlformats.org/officeDocument/2006/relationships/hyperlink" Id="rId65"/>
    <Relationship TargetMode="External" Target="https://www.legis.iowa.gov/docs/ico/chapter/228.1.pdf" Type="http://schemas.openxmlformats.org/officeDocument/2006/relationships/hyperlink" Id="rId66"/>
    <Relationship TargetMode="External" Target="https://www.legis.iowa.gov/docs/iac/rule/441.24.4.pdf" Type="http://schemas.openxmlformats.org/officeDocument/2006/relationships/hyperlink" Id="rId67"/>
    <Relationship TargetMode="External" Target="https://www.legis.iowa.gov/docs/iac/rule/441.24.4.pdf" Type="http://schemas.openxmlformats.org/officeDocument/2006/relationships/hyperlink" Id="rId68"/>
    <Relationship TargetMode="External" Target="https://www.legis.iowa.gov/docs/iac/rule/441.24.4.pdf" Type="http://schemas.openxmlformats.org/officeDocument/2006/relationships/hyperlink" Id="rId69"/>
    <Relationship TargetMode="External" Target="https://www.legis.iowa.gov/docs/ico/chapter/225C.6.pdf" Type="http://schemas.openxmlformats.org/officeDocument/2006/relationships/hyperlink" Id="rId70"/>
    <Relationship TargetMode="External" Target="https://www.legis.iowa.gov/docs/iac/rule/441.24.5.pdf" Type="http://schemas.openxmlformats.org/officeDocument/2006/relationships/hyperlink" Id="rId71"/>
    <Relationship TargetMode="External" Target="https://www.legis.iowa.gov/docs/iac/rule/441.24.5.pdf" Type="http://schemas.openxmlformats.org/officeDocument/2006/relationships/hyperlink" Id="rId72"/>
    <Relationship TargetMode="External" Target="https://www.legis.iowa.gov/docs/iac/rule/441.24.5.pdf" Type="http://schemas.openxmlformats.org/officeDocument/2006/relationships/hyperlink" Id="rId73"/>
    <Relationship TargetMode="External" Target="https://www.legis.iowa.gov/docs/iac/rule/441.5.0.pdf" Type="http://schemas.openxmlformats.org/officeDocument/2006/relationships/hyperlink" Id="rId74"/>
    <Relationship TargetMode="External" Target="https://www.legis.iowa.gov/docs/iac/rule/441.24.5.pdf" Type="http://schemas.openxmlformats.org/officeDocument/2006/relationships/hyperlink" Id="rId75"/>
    <Relationship TargetMode="External" Target="https://www.legis.iowa.gov/docs/iac/rule/441.24.5.pdf" Type="http://schemas.openxmlformats.org/officeDocument/2006/relationships/hyperlink" Id="rId76"/>
    <Relationship TargetMode="External" Target="https://www.legis.iowa.gov/docs/iac/rule/441.24.6.pdf" Type="http://schemas.openxmlformats.org/officeDocument/2006/relationships/hyperlink" Id="rId77"/>
    <Relationship TargetMode="External" Target="https://www.legis.iowa.gov/docs/iac/rule/441.24.6.pdf" Type="http://schemas.openxmlformats.org/officeDocument/2006/relationships/hyperlink" Id="rId78"/>
    <Relationship TargetMode="External" Target="https://www.legis.iowa.gov/docs/iac/rule/441.24.7.pdf" Type="http://schemas.openxmlformats.org/officeDocument/2006/relationships/hyperlink" Id="rId79"/>
    <Relationship TargetMode="External" Target="https://www.legis.iowa.gov/docs/iac/rule/441.24.8.pdf" Type="http://schemas.openxmlformats.org/officeDocument/2006/relationships/hyperlink" Id="rId80"/>
    <Relationship TargetMode="External" Target="https://www.legis.iowa.gov/docs/iac/rule/441.24.9.pdf" Type="http://schemas.openxmlformats.org/officeDocument/2006/relationships/hyperlink" Id="rId81"/>
    <Relationship TargetMode="External" Target="https://www.legis.iowa.gov/docs/ico/chapter/228.1.pdf" Type="http://schemas.openxmlformats.org/officeDocument/2006/relationships/hyperlink" Id="rId82"/>
    <Relationship TargetMode="External" Target="https://www.legis.iowa.gov/docs/iac/rule/441.24.24.pdf" Type="http://schemas.openxmlformats.org/officeDocument/2006/relationships/hyperlink" Id="rId83"/>
    <Relationship TargetMode="External" Target="https://www.legis.iowa.gov/docs/iac/rule/441.24.24.pdf" Type="http://schemas.openxmlformats.org/officeDocument/2006/relationships/hyperlink" Id="rId84"/>
    <Relationship TargetMode="External" Target="https://www.legis.iowa.gov/docs/ico/chapter/228.1.pdf" Type="http://schemas.openxmlformats.org/officeDocument/2006/relationships/hyperlink" Id="rId85"/>
    <Relationship TargetMode="External" Target="https://www.legis.iowa.gov/docs/iac/rule/441.24.39.pdf" Type="http://schemas.openxmlformats.org/officeDocument/2006/relationships/hyperlink" Id="rId86"/>
    <Relationship TargetMode="External" Target="https://www.legis.iowa.gov/docs/ico/chapter/142D.pdf" Type="http://schemas.openxmlformats.org/officeDocument/2006/relationships/hyperlink" Id="rId87"/>
    <Relationship TargetMode="External" Target="https://www.legis.iowa.gov/docs/iac/rule/441.24.39.pdf" Type="http://schemas.openxmlformats.org/officeDocument/2006/relationships/hyperlink" Id="rId88"/>
    <Relationship TargetMode="External" Target="https://www.legis.iowa.gov/docs/iac/rule/481.57.50.pdf" Type="http://schemas.openxmlformats.org/officeDocument/2006/relationships/hyperlink" Id="rId89"/>
    <Relationship TargetMode="External" Target="https://www.legis.iowa.gov/docs/iac/rule/441.24.40.pdf" Type="http://schemas.openxmlformats.org/officeDocument/2006/relationships/hyperlink" Id="rId90"/>
    <Relationship TargetMode="External" Target="https://www.legis.iowa.gov/docs/iac/rule/441.24.40.pdf" Type="http://schemas.openxmlformats.org/officeDocument/2006/relationships/hyperlink" Id="rId91"/>
    <Relationship TargetMode="External" Target="https://www.legis.iowa.gov/docs/ico/chapter/142D.pdf" Type="http://schemas.openxmlformats.org/officeDocument/2006/relationships/hyperlink" Id="rId92"/>
    <Relationship TargetMode="External" Target="https://www.legis.iowa.gov/docs/ico/chapter/331.397.pdf" Type="http://schemas.openxmlformats.org/officeDocument/2006/relationships/hyperlink" Id="rId93"/>
    <Relationship TargetMode="External" Target="https://www.legis.iowa.gov/docs/ico/chapter/225C.19A.pdf" Type="http://schemas.openxmlformats.org/officeDocument/2006/relationships/hyperlink" Id="rId94"/>
    <Relationship TargetMode="External" Target="https://www.legis.iowa.gov/docs/ico/chapter/230A.pdf" Type="http://schemas.openxmlformats.org/officeDocument/2006/relationships/hyperlink" Id="rId95"/>
    <Relationship TargetMode="External" Target="https://www.legis.iowa.gov/docs/ico/chapter/230A.102.pdf" Type="http://schemas.openxmlformats.org/officeDocument/2006/relationships/hyperlink" Id="rId96"/>
    <Relationship TargetMode="External" Target="https://www.legis.iowa.gov/docs/ico/chapter/230A.105.pdf" Type="http://schemas.openxmlformats.org/officeDocument/2006/relationships/hyperlink" Id="rId97"/>
    <Relationship TargetMode="External" Target="https://www.legis.iowa.gov/docs/iac/rule/441.24.51.pdf" Type="http://schemas.openxmlformats.org/officeDocument/2006/relationships/hyperlink" Id="rId98"/>
    <Relationship TargetMode="External" Target="https://www.legis.iowa.gov/docs/iac/rule/441.24.52.pdf" Type="http://schemas.openxmlformats.org/officeDocument/2006/relationships/hyperlink" Id="rId99"/>
    <Relationship TargetMode="External" Target="https://www.legis.iowa.gov/docs/ico/chapter/230A.104.pdf" Type="http://schemas.openxmlformats.org/officeDocument/2006/relationships/hyperlink" Id="rId100"/>
    <Relationship TargetMode="External" Target="https://www.legis.iowa.gov/docs/iac/rule/441.24.51.pdf" Type="http://schemas.openxmlformats.org/officeDocument/2006/relationships/hyperlink" Id="rId101"/>
    <Relationship TargetMode="External" Target="https://www.legis.iowa.gov/docs/iac/rule/441.24.51.pdf" Type="http://schemas.openxmlformats.org/officeDocument/2006/relationships/hyperlink" Id="rId102"/>
    <Relationship TargetMode="External" Target="https://www.legis.iowa.gov/docs/iac/rule/441.24.51.pdf" Type="http://schemas.openxmlformats.org/officeDocument/2006/relationships/hyperlink" Id="rId103"/>
    <Relationship TargetMode="External" Target="https://www.legis.iowa.gov/docs/iac/rule/441.24.54.pdf" Type="http://schemas.openxmlformats.org/officeDocument/2006/relationships/hyperlink" Id="rId104"/>
    <Relationship TargetMode="External" Target="https://www.legis.iowa.gov/docs/iac/rule/441.25.4.pdf" Type="http://schemas.openxmlformats.org/officeDocument/2006/relationships/hyperlink" Id="rId105"/>
    <Relationship TargetMode="External" Target="https://www.legis.iowa.gov/docs/iac/rule/441.25.4.pdf" Type="http://schemas.openxmlformats.org/officeDocument/2006/relationships/hyperlink" Id="rId106"/>
    <Relationship TargetMode="External" Target="https://www.legis.iowa.gov/docs/ico/chapter/230A.pdf" Type="http://schemas.openxmlformats.org/officeDocument/2006/relationships/hyperlink" Id="rId107"/>
    <Relationship TargetMode="External" Target="https://www.legis.iowa.gov/docs/iac/rule/441.24.55.pdf" Type="http://schemas.openxmlformats.org/officeDocument/2006/relationships/hyperlink" Id="rId108"/>
    <Relationship TargetMode="External" Target="https://www.legis.iowa.gov/docs/ico/chapter/230A.107.pdf" Type="http://schemas.openxmlformats.org/officeDocument/2006/relationships/hyperlink" Id="rId109"/>
    <Relationship TargetMode="External" Target="https://www.legis.iowa.gov/docs/ico/chapter/230A.103.pdf" Type="http://schemas.openxmlformats.org/officeDocument/2006/relationships/hyperlink" Id="rId110"/>
    <Relationship TargetMode="External" Target="https://www.legis.iowa.gov/docs/iac/rule/441.24.8.pdf" Type="http://schemas.openxmlformats.org/officeDocument/2006/relationships/hyperlink" Id="rId111"/>
    <Relationship TargetMode="External" Target="https://www.legis.iowa.gov/docs/iac/rule/441.24.9.pdf" Type="http://schemas.openxmlformats.org/officeDocument/2006/relationships/hyperlink" Id="rId112"/>
    <Relationship TargetMode="External" Target="https://www.legis.iowa.gov/docs/iac/rule/441.24.51.pdf" Type="http://schemas.openxmlformats.org/officeDocument/2006/relationships/hyperlink" Id="rId113"/>
    <Relationship TargetMode="External" Target="https://www.legis.iowa.gov/docs/iac/rule/441.24.51.pdf" Type="http://schemas.openxmlformats.org/officeDocument/2006/relationships/hyperlink" Id="rId114"/>
    <Relationship TargetMode="External" Target="https://www.legis.iowa.gov/docs/iac/rule/441.24.5.pdf" Type="http://schemas.openxmlformats.org/officeDocument/2006/relationships/hyperlink" Id="rId115"/>
    <Relationship TargetMode="External" Target="https://www.legis.iowa.gov/docs/iac/rule/441.24.55.pdf" Type="http://schemas.openxmlformats.org/officeDocument/2006/relationships/hyperlink" Id="rId116"/>
    <Relationship TargetMode="External" Target="https://www.legis.iowa.gov/docs/iac/rule/441.24.5.pdf" Type="http://schemas.openxmlformats.org/officeDocument/2006/relationships/hyperlink" Id="rId117"/>
    <Relationship TargetMode="External" Target="https://www.legis.iowa.gov/docs/iac/rule/441.24.2.pdf" Type="http://schemas.openxmlformats.org/officeDocument/2006/relationships/hyperlink" Id="rId118"/>
    <Relationship TargetMode="External" Target="https://www.legis.iowa.gov/docs/iac/rule/441.24.3.pdf" Type="http://schemas.openxmlformats.org/officeDocument/2006/relationships/hyperlink" Id="rId119"/>
    <Relationship TargetMode="External" Target="https://www.legis.iowa.gov/docs/ico/chapter/230A.110.pdf" Type="http://schemas.openxmlformats.org/officeDocument/2006/relationships/hyperlink" Id="rId120"/>
    <Relationship TargetMode="External" Target="https://www.legis.iowa.gov/docs/ico/chapter/230A.110.pdf" Type="http://schemas.openxmlformats.org/officeDocument/2006/relationships/hyperlink" Id="rId121"/>
    <Relationship TargetMode="External" Target="https://www.legis.iowa.gov/docs/iac/rule/441.24.4.pdf" Type="http://schemas.openxmlformats.org/officeDocument/2006/relationships/hyperlink" Id="rId122"/>
    <Relationship TargetMode="External" Target="https://www.legis.iowa.gov/docs/iac/rule/441.24.4.pdf" Type="http://schemas.openxmlformats.org/officeDocument/2006/relationships/hyperlink" Id="rId123"/>
    <Relationship TargetMode="External" Target="https://www.legis.iowa.gov/docs/iac/rule/441.24.4.pdf" Type="http://schemas.openxmlformats.org/officeDocument/2006/relationships/hyperlink" Id="rId124"/>
    <Relationship TargetMode="External" Target="https://www.legis.iowa.gov/docs/iac/rule/441.24.4.pdf" Type="http://schemas.openxmlformats.org/officeDocument/2006/relationships/hyperlink" Id="rId125"/>
    <Relationship TargetMode="External" Target="https://www.legis.iowa.gov/docs/iac/rule/441.24.33.pdf" Type="http://schemas.openxmlformats.org/officeDocument/2006/relationships/hyperlink" Id="rId126"/>
    <Relationship TargetMode="External" Target="https://www.legis.iowa.gov/docs/iac/rule/441.24.4.pdf" Type="http://schemas.openxmlformats.org/officeDocument/2006/relationships/hyperlink" Id="rId127"/>
    <Relationship TargetMode="External" Target="https://www.legis.iowa.gov/docs/iac/rule/441.24.4.pdf" Type="http://schemas.openxmlformats.org/officeDocument/2006/relationships/hyperlink" Id="rId128"/>
    <Relationship TargetMode="External" Target="https://www.legis.iowa.gov/docs/iac/rule/441.25.6.pdf" Type="http://schemas.openxmlformats.org/officeDocument/2006/relationships/hyperlink" Id="rId129"/>
    <Relationship TargetMode="External" Target="https://www.legis.iowa.gov/docs/iac/rule/441.77.38.pdf" Type="http://schemas.openxmlformats.org/officeDocument/2006/relationships/hyperlink" Id="rId130"/>
    <Relationship TargetMode="External" Target="https://www.legis.iowa.gov/docs/iac/rule/441.24.4.pdf" Type="http://schemas.openxmlformats.org/officeDocument/2006/relationships/hyperlink" Id="rId131"/>
    <Relationship TargetMode="External" Target="https://www.legis.iowa.gov/docs/ico/chapter/230A.106.pdf" Type="http://schemas.openxmlformats.org/officeDocument/2006/relationships/hyperlink" Id="rId132"/>
    <Relationship TargetMode="External" Target="https://www.legis.iowa.gov/docs/ico/chapter/230A.106.pdf" Type="http://schemas.openxmlformats.org/officeDocument/2006/relationships/hyperlink" Id="rId133"/>
    <Relationship TargetMode="External" Target="https://www.legis.iowa.gov/docs/ico/chapter/230A.106.pdf" Type="http://schemas.openxmlformats.org/officeDocument/2006/relationships/hyperlink" Id="rId134"/>
    <Relationship TargetMode="External" Target="https://www.legis.iowa.gov/docs/iac/rule/441.24.4.pdf" Type="http://schemas.openxmlformats.org/officeDocument/2006/relationships/hyperlink" Id="rId135"/>
    <Relationship TargetMode="External" Target="https://www.legis.iowa.gov/docs/iac/rule/441.24.4.pdf" Type="http://schemas.openxmlformats.org/officeDocument/2006/relationships/hyperlink" Id="rId136"/>
    <Relationship TargetMode="External" Target="https://www.legis.iowa.gov/docs/iac/rule/441.24.3.pdf" Type="http://schemas.openxmlformats.org/officeDocument/2006/relationships/hyperlink" Id="rId137"/>
    <Relationship TargetMode="External" Target="https://www.legis.iowa.gov/docs/iac/rule/441.24.52.pdf" Type="http://schemas.openxmlformats.org/officeDocument/2006/relationships/hyperlink" Id="rId138"/>
    <Relationship TargetMode="External" Target="https://www.legis.iowa.gov/docs/iac/rule/441.24.53.pdf" Type="http://schemas.openxmlformats.org/officeDocument/2006/relationships/hyperlink" Id="rId139"/>
    <Relationship TargetMode="External" Target="https://www.legis.iowa.gov/docs/iac/rule/441.24.54.pdf" Type="http://schemas.openxmlformats.org/officeDocument/2006/relationships/hyperlink" Id="rId1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