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231</w:t>
      </w:r>
    </w:p>
    <w:p>
      <w:pPr>
        <w:spacing w:before="0" w:after="0"/>
        <w:ind w:left="120"/>
        <w:jc w:val="center"/>
      </w:pPr>
      <w:r>
        <w:rPr>
          <w:rFonts w:ascii="Times New Roman" w:hAnsi="Times New Roman"/>
          <w:b w:val="false"/>
          <w:i w:val="false"/>
          <w:color w:val="000000"/>
          <w:sz w:val="21"/>
        </w:rPr>
        <w:t>OFFICE OF PUBLIC GUARDIAN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441—231.1</w:t>
      </w:r>
      <w:r>
        <w:rPr>
          <w:rFonts w:ascii="Times New Roman" w:hAnsi="Times New Roman"/>
          <w:b/>
          <w:i w:val="false"/>
          <w:color w:val="000000"/>
          <w:sz w:val="22"/>
        </w:rPr>
        <w:t xml:space="preserve">(231E,633)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implements the office of public guardian as created in Iowa Code chapter </w:t>
      </w:r>
      <w:hyperlink r:id="rId5">
        <w:r>
          <w:rPr>
            <w:rStyle w:val="Hyperlink"/>
            <w:rFonts w:ascii="Times New Roman" w:hAnsi="Times New Roman"/>
            <w:b w:val="false"/>
            <w:i w:val="false"/>
            <w:color w:val="000000"/>
            <w:sz w:val="22"/>
          </w:rPr>
          <w:t>231E</w:t>
        </w:r>
      </w:hyperlink>
      <w:r>
        <w:rPr>
          <w:rFonts w:ascii="Times New Roman" w:hAnsi="Times New Roman"/>
          <w:b w:val="false"/>
          <w:i w:val="false"/>
          <w:color w:val="000000"/>
          <w:sz w:val="22"/>
        </w:rPr>
        <w:t xml:space="preserve"> and establishes standards and procedures for the state office of public guardian and local offices of public guardian. It also establishes the qualifications of consumers eligible for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441—231.2</w:t>
      </w:r>
      <w:r>
        <w:rPr>
          <w:rFonts w:ascii="Times New Roman" w:hAnsi="Times New Roman"/>
          <w:b/>
          <w:i w:val="false"/>
          <w:color w:val="000000"/>
          <w:sz w:val="22"/>
        </w:rPr>
        <w:t xml:space="preserve">(231E,633)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Words and phrases used in this chapter are as defined in Iowa Code chapter </w:t>
      </w:r>
      <w:hyperlink r:id="rId6">
        <w:r>
          <w:rPr>
            <w:rStyle w:val="Hyperlink"/>
            <w:rFonts w:ascii="Times New Roman" w:hAnsi="Times New Roman"/>
            <w:b w:val="false"/>
            <w:i w:val="false"/>
            <w:color w:val="000000"/>
            <w:sz w:val="22"/>
          </w:rPr>
          <w:t>231E</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633</w:t>
        </w:r>
      </w:hyperlink>
      <w:r>
        <w:rPr>
          <w:rFonts w:ascii="Times New Roman" w:hAnsi="Times New Roman"/>
          <w:b w:val="false"/>
          <w:i w:val="false"/>
          <w:color w:val="000000"/>
          <w:sz w:val="22"/>
        </w:rPr>
        <w:t xml:space="preserve"> unless the context indicates otherwise. The following definitions also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“Evaluation”</w:t>
      </w:r>
      <w:r>
        <w:rPr>
          <w:rFonts w:ascii="Times New Roman" w:hAnsi="Times New Roman"/>
          <w:b w:val="false"/>
          <w:i w:val="false"/>
          <w:color w:val="000000"/>
          <w:sz w:val="22"/>
        </w:rPr>
        <w:t> </w:t>
      </w:r>
      <w:r>
        <w:rPr>
          <w:rFonts w:ascii="Times New Roman" w:hAnsi="Times New Roman"/>
          <w:b w:val="false"/>
          <w:i w:val="false"/>
          <w:color w:val="000000"/>
          <w:sz w:val="22"/>
        </w:rPr>
        <w:t>means a comprehensive, in-depth evaluation to identify an individual’s current situation, ability to function, strengths, problems, and care needs in the following major functional areas: physical health, medical care utilization, activities of daily living, instrumental activities of daily living, mental and social functioning, financial resources, physical environment, and utilization of services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“fees”</w:t>
      </w:r>
      <w:r>
        <w:rPr>
          <w:rFonts w:ascii="Times New Roman" w:hAnsi="Times New Roman"/>
          <w:b w:val="false"/>
          <w:i w:val="false"/>
          <w:color w:val="000000"/>
          <w:sz w:val="22"/>
        </w:rPr>
        <w:t> </w:t>
      </w:r>
      <w:r>
        <w:rPr>
          <w:rFonts w:ascii="Times New Roman" w:hAnsi="Times New Roman"/>
          <w:b w:val="false"/>
          <w:i w:val="false"/>
          <w:color w:val="000000"/>
          <w:sz w:val="22"/>
        </w:rPr>
        <w:t>means any costs assessed by the state office or a local office against a protected person or a client for public guardianship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 case manager”</w:t>
      </w:r>
      <w:r>
        <w:rPr>
          <w:rFonts w:ascii="Times New Roman" w:hAnsi="Times New Roman"/>
          <w:b w:val="false"/>
          <w:i w:val="false"/>
          <w:color w:val="000000"/>
          <w:sz w:val="22"/>
        </w:rPr>
        <w:t> </w:t>
      </w:r>
      <w:r>
        <w:rPr>
          <w:rFonts w:ascii="Times New Roman" w:hAnsi="Times New Roman"/>
          <w:b w:val="false"/>
          <w:i w:val="false"/>
          <w:color w:val="000000"/>
          <w:sz w:val="22"/>
        </w:rPr>
        <w:t>means an employee of the state office or a local office, or a contractor of a local office, who provides public guardianship services to protected persons or clients or who supervises employees, contractors, or volunteers who provide public guardianship services to protected persons or clients. “Guardian case manager” does not include employees or contractors whose responsibilities are strictly administrative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activities and services offered by the office of public guardian pursuant to Iowa Code chapter </w:t>
      </w:r>
      <w:hyperlink r:id="rId8">
        <w:r>
          <w:rPr>
            <w:rStyle w:val="Hyperlink"/>
            <w:rFonts w:ascii="Times New Roman" w:hAnsi="Times New Roman"/>
            <w:b w:val="false"/>
            <w:i w:val="false"/>
            <w:color w:val="000000"/>
            <w:sz w:val="22"/>
          </w:rPr>
          <w:t>231E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means any information obtained by the state or local office in the performance of its duties.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441—231.3</w:t>
      </w:r>
      <w:r>
        <w:rPr>
          <w:rFonts w:ascii="Times New Roman" w:hAnsi="Times New Roman"/>
          <w:b/>
          <w:i w:val="false"/>
          <w:color w:val="000000"/>
          <w:sz w:val="22"/>
        </w:rPr>
        <w:t xml:space="preserve">(231E,633) </w:t>
      </w:r>
      <w:r>
        <w:rPr>
          <w:rFonts w:ascii="Times New Roman" w:hAnsi="Times New Roman"/>
          <w:b/>
          <w:i w:val="false"/>
          <w:color w:val="000000"/>
          <w:sz w:val="22"/>
        </w:rPr>
        <w:t xml:space="preserve">Public guardian qualifications. </w:t>
      </w:r>
      <w:r>
        <w:rPr>
          <w:rFonts w:ascii="Times New Roman" w:hAnsi="Times New Roman"/>
          <w:b w:val="false"/>
          <w:i w:val="false"/>
          <w:color w:val="000000"/>
          <w:sz w:val="22"/>
        </w:rPr>
        <w:t>All public guardians shall have graduated from an accredited four-year college or university or shall have an equivalent combination of education and full-time equivalent work experience working with older adults, people with disabilities, or people overcoming social, economic, psychological or health problems. All guardian case managers shall be certified by the Center for Guardianship Certification within 12 months of assuming duties as a guardian case manager. This certification shall be kept current while the person is serving as a guardian case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441—231.4</w:t>
      </w:r>
      <w:r>
        <w:rPr>
          <w:rFonts w:ascii="Times New Roman" w:hAnsi="Times New Roman"/>
          <w:b/>
          <w:i w:val="false"/>
          <w:color w:val="000000"/>
          <w:sz w:val="22"/>
        </w:rPr>
        <w:t xml:space="preserve">(231E,633) </w:t>
      </w:r>
      <w:r>
        <w:rPr>
          <w:rFonts w:ascii="Times New Roman" w:hAnsi="Times New Roman"/>
          <w:b/>
          <w:i w:val="false"/>
          <w:color w:val="000000"/>
          <w:sz w:val="22"/>
        </w:rPr>
        <w:t xml:space="preserve">Ethics and standards of practice. </w:t>
      </w:r>
      <w:r>
        <w:rPr>
          <w:rFonts w:ascii="Times New Roman" w:hAnsi="Times New Roman"/>
          <w:b w:val="false"/>
          <w:i w:val="false"/>
          <w:color w:val="000000"/>
          <w:sz w:val="22"/>
        </w:rPr>
        <w:t>The state office adopts the National Guardianship Association Standards of Practice adopted in 2000, and revised in 2022, and as amended to October 1, 2025, as a statement of the best practices and the highest quality of practice for persons serving as guardians or conservators. The adoption of standards of practice in this document is not intended to amend or diminish the statutory scheme but rather to supplement and enhance the understanding of the statutory obligations to be met by public guardians when serving as a public guardian. Upon appointment to serve a protected person or client, the public guardian shall perform all duties imposed by the court or other entity having jurisdiction and imposed by applicable law and, as appropriate, shall utilize standards found in the National Guardianship Association Standards of Practice as amended to October 1, 2025. Representative payees will adhere to the standards of the Social Security Administration, as well as any service contracts or grants established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441—231.5</w:t>
      </w:r>
      <w:r>
        <w:rPr>
          <w:rFonts w:ascii="Times New Roman" w:hAnsi="Times New Roman"/>
          <w:b/>
          <w:i w:val="false"/>
          <w:color w:val="000000"/>
          <w:sz w:val="22"/>
        </w:rPr>
        <w:t xml:space="preserve">(231E,633) </w:t>
      </w:r>
      <w:r>
        <w:rPr>
          <w:rFonts w:ascii="Times New Roman" w:hAnsi="Times New Roman"/>
          <w:b/>
          <w:i w:val="false"/>
          <w:color w:val="000000"/>
          <w:sz w:val="22"/>
        </w:rPr>
        <w:t xml:space="preserve">Staffing ratio. </w:t>
      </w:r>
      <w:r>
        <w:rPr>
          <w:rFonts w:ascii="Times New Roman" w:hAnsi="Times New Roman"/>
          <w:b w:val="false"/>
          <w:i w:val="false"/>
          <w:color w:val="000000"/>
          <w:sz w:val="22"/>
        </w:rPr>
        <w:t>The state office or a local office will be responsible for no more than 40 protected persons per full-time equivalent guardian case manager at any one time. In the state office’s sole discretion, the state office or a local office may exceed staffing ratios only under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priority situation exists as defined in subrule </w:t>
      </w:r>
      <w:hyperlink r:id="rId9">
        <w:r>
          <w:rPr>
            <w:rStyle w:val="Hyperlink"/>
            <w:rFonts w:ascii="Times New Roman" w:hAnsi="Times New Roman"/>
            <w:b w:val="false"/>
            <w:i w:val="false"/>
            <w:color w:val="000000"/>
            <w:sz w:val="22"/>
          </w:rPr>
          <w:t>231.7(2)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Acceptance of case(s) will not adversely affect services to current protected persons or clients.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441—231.6</w:t>
      </w:r>
      <w:r>
        <w:rPr>
          <w:rFonts w:ascii="Times New Roman" w:hAnsi="Times New Roman"/>
          <w:b/>
          <w:i w:val="false"/>
          <w:color w:val="000000"/>
          <w:sz w:val="22"/>
        </w:rPr>
        <w:t xml:space="preserve">(231E,633)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A conflict of interest arises when the state office or a local office serving a protected person or client has any personal or departmental interest that is or may be perceived as self-serving or adverse to the position or best interest of the protected person or client. When assigning the state office or a local office, all reasonable efforts shall be made to avoid a conflict of interest or the appearance of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231.6(1)</w:t>
      </w:r>
      <w:r>
        <w:rPr>
          <w:rFonts w:ascii="Times New Roman" w:hAnsi="Times New Roman"/>
          <w:b w:val="false"/>
          <w:i w:val="false"/>
          <w:color w:val="000000"/>
          <w:sz w:val="22"/>
        </w:rPr>
        <w:t> </w:t>
      </w:r>
      <w:r>
        <w:rPr>
          <w:rFonts w:ascii="Times New Roman" w:hAnsi="Times New Roman"/>
          <w:b w:val="false"/>
          <w:i w:val="false"/>
          <w:color w:val="000000"/>
          <w:sz w:val="22"/>
        </w:rPr>
        <w:t>The assigned state office or local office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direct services to the protected person or client receiving public guardianship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any transaction, take any action, or make any decision related to the protected person’s or client’s finances that would benefit the state office or a local office; any of the state office’s or a local office’s employees, volunteers, or contractors; or any relatives of any of the state office’s or a local office’s employees, volunteers, or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 friends or family to provide services to the protected person or client for a fee;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Solicit or accept incentives from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231.6(2)</w:t>
      </w:r>
      <w:r>
        <w:rPr>
          <w:rFonts w:ascii="Times New Roman" w:hAnsi="Times New Roman"/>
          <w:b w:val="false"/>
          <w:i w:val="false"/>
          <w:color w:val="000000"/>
          <w:sz w:val="22"/>
        </w:rPr>
        <w:t> </w:t>
      </w:r>
      <w:r>
        <w:rPr>
          <w:rFonts w:ascii="Times New Roman" w:hAnsi="Times New Roman"/>
          <w:b w:val="false"/>
          <w:i w:val="false"/>
          <w:color w:val="000000"/>
          <w:sz w:val="22"/>
        </w:rPr>
        <w:t>The state office or a local office shall be independent from all service providers, thus ensuring that the public guardian remains free to challenge inappropriate or poorly delivered services and to advocate on behalf of the protected person or client.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441—231.7</w:t>
      </w:r>
      <w:r>
        <w:rPr>
          <w:rFonts w:ascii="Times New Roman" w:hAnsi="Times New Roman"/>
          <w:b/>
          <w:i w:val="false"/>
          <w:color w:val="000000"/>
          <w:sz w:val="22"/>
        </w:rPr>
        <w:t xml:space="preserve">(231E,633) </w:t>
      </w:r>
      <w:r>
        <w:rPr>
          <w:rFonts w:ascii="Times New Roman" w:hAnsi="Times New Roman"/>
          <w:b/>
          <w:i w:val="false"/>
          <w:color w:val="000000"/>
          <w:sz w:val="22"/>
        </w:rPr>
        <w:t xml:space="preserve">Individuals eligible for services. </w:t>
      </w:r>
      <w:r>
        <w:rPr>
          <w:rFonts w:ascii="Times New Roman" w:hAnsi="Times New Roman"/>
          <w:b w:val="false"/>
          <w:i w:val="false"/>
          <w:color w:val="000000"/>
          <w:sz w:val="22"/>
        </w:rPr>
        <w:t xml:space="preserve">The office of public guardian will seek to restrict appointments to only those necessary. The state office or a local office will not accept an appointment based upon a voluntary petition unless that appointment is as a successor guardian or conservator and the court has, after notice and hearing, found by clear and convincing evidence that the protected person meets the legal standard for appointment of a guardian in Iowa Code section </w:t>
      </w:r>
      <w:hyperlink r:id="rId10">
        <w:r>
          <w:rPr>
            <w:rStyle w:val="Hyperlink"/>
            <w:rFonts w:ascii="Times New Roman" w:hAnsi="Times New Roman"/>
            <w:b w:val="false"/>
            <w:i w:val="false"/>
            <w:color w:val="000000"/>
            <w:sz w:val="22"/>
          </w:rPr>
          <w:t>633.552</w:t>
        </w:r>
      </w:hyperlink>
      <w:r>
        <w:rPr>
          <w:rFonts w:ascii="Times New Roman" w:hAnsi="Times New Roman"/>
          <w:b w:val="false"/>
          <w:i w:val="false"/>
          <w:color w:val="000000"/>
          <w:sz w:val="22"/>
        </w:rPr>
        <w:t xml:space="preserve">, the legal standard for appointment of a conservator in Iowa Code section </w:t>
      </w:r>
      <w:hyperlink r:id="rId11">
        <w:r>
          <w:rPr>
            <w:rStyle w:val="Hyperlink"/>
            <w:rFonts w:ascii="Times New Roman" w:hAnsi="Times New Roman"/>
            <w:b w:val="false"/>
            <w:i w:val="false"/>
            <w:color w:val="000000"/>
            <w:sz w:val="22"/>
          </w:rPr>
          <w:t>633.553</w:t>
        </w:r>
      </w:hyperlink>
      <w:r>
        <w:rPr>
          <w:rFonts w:ascii="Times New Roman" w:hAnsi="Times New Roman"/>
          <w:b w:val="false"/>
          <w:i w:val="false"/>
          <w:color w:val="000000"/>
          <w:sz w:val="22"/>
        </w:rPr>
        <w:t>,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231.7(1)</w:t>
      </w:r>
      <w:r>
        <w:rPr>
          <w:rFonts w:ascii="Times New Roman" w:hAnsi="Times New Roman"/>
          <w:b w:val="false"/>
          <w:i w:val="false"/>
          <w:color w:val="000000"/>
          <w:sz w:val="22"/>
        </w:rPr>
        <w:t> </w:t>
      </w:r>
      <w:r>
        <w:rPr>
          <w:rFonts w:ascii="Times New Roman" w:hAnsi="Times New Roman"/>
          <w:b w:val="false"/>
          <w:i w:val="false"/>
          <w:color w:val="000000"/>
          <w:sz w:val="22"/>
        </w:rPr>
        <w:t>In order to qualify for services, an individual shall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aged 18 or older or is at least 17 years and six months of age for appointment of a guardian or conservator on a standby basis for a minor approaching majority pursuant to Iowa Code section </w:t>
      </w:r>
      <w:hyperlink r:id="rId12">
        <w:r>
          <w:rPr>
            <w:rStyle w:val="Hyperlink"/>
            <w:rFonts w:ascii="Times New Roman" w:hAnsi="Times New Roman"/>
            <w:b w:val="false"/>
            <w:i w:val="false"/>
            <w:color w:val="000000"/>
            <w:sz w:val="22"/>
          </w:rPr>
          <w:t>633.567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Does not have a suitable individual or appropriate entity willing and able to serve as guardian, conservator, 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Is “incompetent” as defined in Iowa Code section </w:t>
      </w:r>
      <w:hyperlink r:id="rId13">
        <w:r>
          <w:rPr>
            <w:rStyle w:val="Hyperlink"/>
            <w:rFonts w:ascii="Times New Roman" w:hAnsi="Times New Roman"/>
            <w:b w:val="false"/>
            <w:i w:val="false"/>
            <w:color w:val="000000"/>
            <w:sz w:val="22"/>
          </w:rPr>
          <w:t>633.3(25)</w:t>
        </w:r>
      </w:hyperlink>
      <w:r>
        <w:rPr>
          <w:rFonts w:ascii="Times New Roman" w:hAnsi="Times New Roman"/>
          <w:b w:val="false"/>
          <w:i w:val="false"/>
          <w:color w:val="000000"/>
          <w:sz w:val="22"/>
        </w:rPr>
        <w:t xml:space="preserve"> (for appointment of a guardian or conservator) or is incapable of managing social security or supplemental security income (SSI) payments as determined by the Social Security Administration (for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an individual for whom guardianship, conservatorship, or representative payee services are the least restrictive means of meeting the individual’s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viable plan for improving the care and safety of the individual is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231.7(2)</w:t>
      </w:r>
      <w:r>
        <w:rPr>
          <w:rFonts w:ascii="Times New Roman" w:hAnsi="Times New Roman"/>
          <w:b w:val="false"/>
          <w:i w:val="false"/>
          <w:color w:val="000000"/>
          <w:sz w:val="22"/>
        </w:rPr>
        <w:t> </w:t>
      </w:r>
      <w:r>
        <w:rPr>
          <w:rFonts w:ascii="Times New Roman" w:hAnsi="Times New Roman"/>
          <w:b w:val="false"/>
          <w:i w:val="false"/>
          <w:color w:val="000000"/>
          <w:sz w:val="22"/>
        </w:rPr>
        <w:t>The following cases shall be given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Those involving abuse, neglect or exploitation that public guardianship services can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Those in which a critical medical decision must be made;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situation that may cause serious or irreparable harm to the individual’s mental or physical health or finances.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441—231.8</w:t>
      </w:r>
      <w:r>
        <w:rPr>
          <w:rFonts w:ascii="Times New Roman" w:hAnsi="Times New Roman"/>
          <w:b/>
          <w:i w:val="false"/>
          <w:color w:val="000000"/>
          <w:sz w:val="22"/>
        </w:rPr>
        <w:t xml:space="preserve">(231E,633) </w:t>
      </w:r>
      <w:r>
        <w:rPr>
          <w:rFonts w:ascii="Times New Roman" w:hAnsi="Times New Roman"/>
          <w:b/>
          <w:i w:val="false"/>
          <w:color w:val="000000"/>
          <w:sz w:val="22"/>
        </w:rPr>
        <w:t xml:space="preserve">Application and intake process—guardianship, conservatorship, and representative payee.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231.8(1)</w:t>
      </w:r>
      <w:r>
        <w:rPr>
          <w:rFonts w:ascii="Times New Roman" w:hAnsi="Times New Roman"/>
          <w:b w:val="false"/>
          <w:i w:val="false"/>
          <w:color w:val="000000"/>
          <w:sz w:val="22"/>
        </w:rPr>
        <w:t> </w:t>
      </w:r>
      <w:r>
        <w:rPr>
          <w:rFonts w:ascii="Times New Roman" w:hAnsi="Times New Roman"/>
          <w:b w:val="false"/>
          <w:i w:val="false"/>
          <w:color w:val="000000"/>
          <w:sz w:val="22"/>
        </w:rPr>
        <w:t>Any person may submit an application for services on behalf of an individual believed to be in need of public guardianship services. Applications are available on the department’s website. Incomplete applications will not be considered. Communication with the state office or a local office or the submission of an application does not guarantee eligibility for public guardianship services and does not create any type of fiduciary relationship between the state office and the individual on whose behalf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231.8(2)</w:t>
      </w:r>
      <w:r>
        <w:rPr>
          <w:rFonts w:ascii="Times New Roman" w:hAnsi="Times New Roman"/>
          <w:b w:val="false"/>
          <w:i w:val="false"/>
          <w:color w:val="000000"/>
          <w:sz w:val="22"/>
        </w:rPr>
        <w:t> </w:t>
      </w:r>
      <w:r>
        <w:rPr>
          <w:rFonts w:ascii="Times New Roman" w:hAnsi="Times New Roman"/>
          <w:b w:val="false"/>
          <w:i w:val="false"/>
          <w:color w:val="000000"/>
          <w:sz w:val="22"/>
        </w:rPr>
        <w:t>The state office will make a determination regarding eligibility of the individual and acceptance or denial of the case based on a review of the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231.8(3)</w:t>
      </w:r>
      <w:r>
        <w:rPr>
          <w:rFonts w:ascii="Times New Roman" w:hAnsi="Times New Roman"/>
          <w:b w:val="false"/>
          <w:i w:val="false"/>
          <w:color w:val="000000"/>
          <w:sz w:val="22"/>
        </w:rPr>
        <w:t> </w:t>
      </w:r>
      <w:r>
        <w:rPr>
          <w:rFonts w:ascii="Times New Roman" w:hAnsi="Times New Roman"/>
          <w:b w:val="false"/>
          <w:i w:val="false"/>
          <w:color w:val="000000"/>
          <w:sz w:val="22"/>
        </w:rPr>
        <w:t>The state office will grant or deny an application for services as soon as practicable but, in any event, within 60 days of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231.8(4)</w:t>
      </w:r>
      <w:r>
        <w:rPr>
          <w:rFonts w:ascii="Times New Roman" w:hAnsi="Times New Roman"/>
          <w:b w:val="false"/>
          <w:i w:val="false"/>
          <w:color w:val="000000"/>
          <w:sz w:val="22"/>
        </w:rPr>
        <w:t> </w:t>
      </w:r>
      <w:r>
        <w:rPr>
          <w:rFonts w:ascii="Times New Roman" w:hAnsi="Times New Roman"/>
          <w:b w:val="false"/>
          <w:i w:val="false"/>
          <w:color w:val="000000"/>
          <w:sz w:val="22"/>
        </w:rPr>
        <w:t>Failure of the state office to grant or deny an application within the specified time period may be deemed a denial of the application by the state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231.8(5)</w:t>
      </w:r>
      <w:r>
        <w:rPr>
          <w:rFonts w:ascii="Times New Roman" w:hAnsi="Times New Roman"/>
          <w:b w:val="false"/>
          <w:i w:val="false"/>
          <w:color w:val="000000"/>
          <w:sz w:val="22"/>
        </w:rPr>
        <w:t> </w:t>
      </w:r>
      <w:r>
        <w:rPr>
          <w:rFonts w:ascii="Times New Roman" w:hAnsi="Times New Roman"/>
          <w:b w:val="false"/>
          <w:i w:val="false"/>
          <w:color w:val="000000"/>
          <w:sz w:val="22"/>
        </w:rPr>
        <w:t>In the event that the state office or a local office does not have sufficient resources to accept new cases, the state office will place applications that are eligible for public guardianship services on a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Cases will be taken off the waiting list in the order in which they were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Cases that meet the priority criteria outlined in subrule </w:t>
      </w:r>
      <w:hyperlink r:id="rId14">
        <w:r>
          <w:rPr>
            <w:rStyle w:val="Hyperlink"/>
            <w:rFonts w:ascii="Times New Roman" w:hAnsi="Times New Roman"/>
            <w:b w:val="false"/>
            <w:i w:val="false"/>
            <w:color w:val="000000"/>
            <w:sz w:val="22"/>
          </w:rPr>
          <w:t>231.7(2)</w:t>
        </w:r>
      </w:hyperlink>
      <w:r>
        <w:rPr>
          <w:rFonts w:ascii="Times New Roman" w:hAnsi="Times New Roman"/>
          <w:b w:val="false"/>
          <w:i w:val="false"/>
          <w:color w:val="000000"/>
          <w:sz w:val="22"/>
        </w:rPr>
        <w:t xml:space="preserve"> will be moved to the top of the waiting list and will be taken off the waiting list in the order in which they were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office or a local office will only file a petition to be appointed as guardian or conservator of an eligible individual if there is no person or entity that has an interest in the welfare of the adult who could file the petition pursuant to Iowa Code section </w:t>
      </w:r>
      <w:hyperlink r:id="rId15">
        <w:r>
          <w:rPr>
            <w:rStyle w:val="Hyperlink"/>
            <w:rFonts w:ascii="Times New Roman" w:hAnsi="Times New Roman"/>
            <w:b w:val="false"/>
            <w:i w:val="false"/>
            <w:color w:val="000000"/>
            <w:sz w:val="22"/>
          </w:rPr>
          <w:t>633.556(1)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441—231.9</w:t>
      </w:r>
      <w:r>
        <w:rPr>
          <w:rFonts w:ascii="Times New Roman" w:hAnsi="Times New Roman"/>
          <w:b/>
          <w:i w:val="false"/>
          <w:color w:val="000000"/>
          <w:sz w:val="22"/>
        </w:rPr>
        <w:t xml:space="preserve">(231E,633) </w:t>
      </w:r>
      <w:r>
        <w:rPr>
          <w:rFonts w:ascii="Times New Roman" w:hAnsi="Times New Roman"/>
          <w:b/>
          <w:i w:val="false"/>
          <w:color w:val="000000"/>
          <w:sz w:val="22"/>
        </w:rPr>
        <w:t xml:space="preserve">Case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231.9(1)</w:t>
      </w:r>
      <w:r>
        <w:rPr>
          <w:rFonts w:ascii="Times New Roman" w:hAnsi="Times New Roman"/>
          <w:b w:val="false"/>
          <w:i w:val="false"/>
          <w:color w:val="000000"/>
          <w:sz w:val="22"/>
        </w:rPr>
        <w:t> </w:t>
      </w:r>
      <w:r>
        <w:rPr>
          <w:rFonts w:ascii="Times New Roman" w:hAnsi="Times New Roman"/>
          <w:b w:val="false"/>
          <w:i w:val="false"/>
          <w:color w:val="000000"/>
          <w:sz w:val="22"/>
        </w:rPr>
        <w:t>The state office or a local office will establish a case record for each protected person or client the state office or a local office is appointed to serve. At a minimum, the case record must contain demographic information,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the evaluations, medical records, and updates,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separate financial management folder containing an inventory, an individual financial management plan, a record of all financial transactions made on behalf of the protected person or client by the public guardian, copies of receipts for all expenditures made by the public guardian on behalf of the protected person or client, and copies of all other documents pertaining to the protected person or client’s financial situation as required by the state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Itemized statements of costs incurred in the provision of services for which the public guardian received court-authorized reimbursement directly from the protected person or client’s estate;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information as required by the state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case records maintained by the public guardian shall be confidential as provided in Iowa Code section </w:t>
      </w:r>
      <w:hyperlink r:id="rId16">
        <w:r>
          <w:rPr>
            <w:rStyle w:val="Hyperlink"/>
            <w:rFonts w:ascii="Times New Roman" w:hAnsi="Times New Roman"/>
            <w:b w:val="false"/>
            <w:i w:val="false"/>
            <w:color w:val="000000"/>
            <w:sz w:val="22"/>
          </w:rPr>
          <w:t>231E.4(6)</w:t>
        </w:r>
      </w:hyperlink>
      <w:r>
        <w:rPr>
          <w:rFonts w:ascii="Times New Roman" w:hAnsi="Times New Roman"/>
          <w:b w:val="false"/>
          <w:i/>
          <w:color w:val="000000"/>
          <w:sz w:val="22"/>
        </w:rPr>
        <w:t>“g.”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441—231.10</w:t>
      </w:r>
      <w:r>
        <w:rPr>
          <w:rFonts w:ascii="Times New Roman" w:hAnsi="Times New Roman"/>
          <w:b/>
          <w:i w:val="false"/>
          <w:color w:val="000000"/>
          <w:sz w:val="22"/>
        </w:rPr>
        <w:t xml:space="preserve">(231E,633)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Notwithstanding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following provisions shall apply to records obtained by public guardians in the course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rule or law, records and information of the state office of public guardian are governed by </w:t>
      </w:r>
      <w:hyperlink r:id="rId18">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231.10(2)</w:t>
      </w:r>
      <w:r>
        <w:rPr>
          <w:rFonts w:ascii="Times New Roman" w:hAnsi="Times New Roman"/>
          <w:b w:val="false"/>
          <w:i w:val="false"/>
          <w:color w:val="000000"/>
          <w:sz w:val="22"/>
        </w:rPr>
        <w:t> </w:t>
      </w:r>
      <w:r>
        <w:rPr>
          <w:rFonts w:ascii="Times New Roman" w:hAnsi="Times New Roman"/>
          <w:b w:val="false"/>
          <w:i w:val="false"/>
          <w:color w:val="000000"/>
          <w:sz w:val="22"/>
        </w:rPr>
        <w:t>Records and information obtained as part of an application for public guardianship services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more than one application for public guardianship services is submitted on behalf of the same individual, the state office may disclose the following information to the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any other application submitted on behalf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of the other applicant or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status of the other application or applications, including copies of any notices sent to the other applicant or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office or a local office may disclose the existence of an application and information contained in an application to family members, service providers, case managers, or others named in an application for public guardianship services in order to gather supplemental information necessary to determine eligibility for public guardianship services or to attempt to locate an individual for whom an application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office may release records and information obtained as part of an application for public guardianship services to a local office of public guardian in anticipation of the local office providing public guardianship services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231.10(3)</w:t>
      </w:r>
      <w:r>
        <w:rPr>
          <w:rFonts w:ascii="Times New Roman" w:hAnsi="Times New Roman"/>
          <w:b w:val="false"/>
          <w:i w:val="false"/>
          <w:color w:val="000000"/>
          <w:sz w:val="22"/>
        </w:rPr>
        <w:t> </w:t>
      </w:r>
      <w:r>
        <w:rPr>
          <w:rFonts w:ascii="Times New Roman" w:hAnsi="Times New Roman"/>
          <w:b w:val="false"/>
          <w:i w:val="false"/>
          <w:color w:val="000000"/>
          <w:sz w:val="22"/>
        </w:rPr>
        <w:t>Records and information about a protected person or client obtained or maintained for use by the state office or a local office of public guardian are confidential. Once appointed as an individual’s guardian, conservator, or representative payee, the state office or a local office may, at the state office’s or a local office’s sole discretion, exercise the authority granted by the court or federal agency to obtain, disclose, or consent to the release of confidential records or information about the protected person or client if doing so is necessary and in the best interest of the protected person or client. The state office or a local office will obtain the written consent of the protected person or client or the person’s or client’s legal representative prior to obtaining or disclosing confidential records or information outside the scope of the state office’s or a local office’s authority. Disclosure of a record or information under this rule does not affect the confidential nature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231.10(4)</w:t>
      </w:r>
      <w:r>
        <w:rPr>
          <w:rFonts w:ascii="Times New Roman" w:hAnsi="Times New Roman"/>
          <w:b w:val="false"/>
          <w:i w:val="false"/>
          <w:color w:val="000000"/>
          <w:sz w:val="22"/>
        </w:rPr>
        <w:t> </w:t>
      </w:r>
      <w:r>
        <w:rPr>
          <w:rFonts w:ascii="Times New Roman" w:hAnsi="Times New Roman"/>
          <w:b w:val="false"/>
          <w:i w:val="false"/>
          <w:color w:val="000000"/>
          <w:sz w:val="22"/>
        </w:rPr>
        <w:t>Records and information may be redacted so that personally identifiable information is kept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231.10(5)</w:t>
      </w:r>
      <w:r>
        <w:rPr>
          <w:rFonts w:ascii="Times New Roman" w:hAnsi="Times New Roman"/>
          <w:b w:val="false"/>
          <w:i w:val="false"/>
          <w:color w:val="000000"/>
          <w:sz w:val="22"/>
        </w:rPr>
        <w:t> </w:t>
      </w:r>
      <w:r>
        <w:rPr>
          <w:rFonts w:ascii="Times New Roman" w:hAnsi="Times New Roman"/>
          <w:b w:val="false"/>
          <w:i w:val="false"/>
          <w:color w:val="000000"/>
          <w:sz w:val="22"/>
        </w:rPr>
        <w:t>The state office or a local office may enter into contracts or agreements with public or private entities in order to carry out the state office’s or a local office’s official duties. Information necessary to carry out these duties may be shared with these entities.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441—231.11</w:t>
      </w:r>
      <w:r>
        <w:rPr>
          <w:rFonts w:ascii="Times New Roman" w:hAnsi="Times New Roman"/>
          <w:b/>
          <w:i w:val="false"/>
          <w:color w:val="000000"/>
          <w:sz w:val="22"/>
        </w:rPr>
        <w:t xml:space="preserve">(231E,633) </w:t>
      </w:r>
      <w:r>
        <w:rPr>
          <w:rFonts w:ascii="Times New Roman" w:hAnsi="Times New Roman"/>
          <w:b/>
          <w:i w:val="false"/>
          <w:color w:val="000000"/>
          <w:sz w:val="22"/>
        </w:rPr>
        <w:t xml:space="preserve">Termination or limitation. </w:t>
      </w:r>
      <w:r>
        <w:rPr>
          <w:rFonts w:ascii="Times New Roman" w:hAnsi="Times New Roman"/>
          <w:b w:val="false"/>
          <w:i w:val="false"/>
          <w:color w:val="000000"/>
          <w:sz w:val="22"/>
        </w:rPr>
        <w:t>Either a local office or the state office may seek the termination or limitation of a local office’s duties under circumstances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Public guardianship services are no longer needed or do not benefit the protected person or client;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protected person’s or client’s assets allow for hiring a paid guardianship or conservatorship service provider;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conflict of interest or the appearance of a conflict of interest arises;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state or a local office lacks adequate staff or financial resources;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protected person or client moves outside the state or outside the local office’s service area;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Public guardianship is no longer the last resort for assistance;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contract between the state office and a local office is terminated by either party and there is no other local office that can be appointed as a successor;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Termination of the program by law; or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Other circumstances that indicate a need for termination or limitation.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441—231.12</w:t>
      </w:r>
      <w:r>
        <w:rPr>
          <w:rFonts w:ascii="Times New Roman" w:hAnsi="Times New Roman"/>
          <w:b/>
          <w:i w:val="false"/>
          <w:color w:val="000000"/>
          <w:sz w:val="22"/>
        </w:rPr>
        <w:t xml:space="preserve">(231E,633) </w:t>
      </w:r>
      <w:r>
        <w:rPr>
          <w:rFonts w:ascii="Times New Roman" w:hAnsi="Times New Roman"/>
          <w:b/>
          <w:i w:val="false"/>
          <w:color w:val="000000"/>
          <w:sz w:val="22"/>
        </w:rPr>
        <w:t xml:space="preserve">Service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231.12(1)</w:t>
      </w:r>
      <w:r>
        <w:rPr>
          <w:rFonts w:ascii="Times New Roman" w:hAnsi="Times New Roman"/>
          <w:b w:val="false"/>
          <w:i w:val="false"/>
          <w:color w:val="000000"/>
          <w:sz w:val="22"/>
        </w:rPr>
        <w:t> </w:t>
      </w:r>
      <w:r>
        <w:rPr>
          <w:rFonts w:ascii="Times New Roman" w:hAnsi="Times New Roman"/>
          <w:b w:val="false"/>
          <w:i w:val="false"/>
          <w:color w:val="000000"/>
          <w:sz w:val="22"/>
        </w:rPr>
        <w:t>The state office and a local office shall be entitled to reasonable compensation for their public guardianship services as determined by using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Such compensation shall not exceed actual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Collection of fees may be adjusted or waived based upon the ability of the protected person or client to pay, upon whether financial hardship to the protected person or client would result, or upon a finding that collection of such fees is not economically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office may collect a fee from the estate of a deceased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231.12(2)</w:t>
      </w:r>
      <w:r>
        <w:rPr>
          <w:rFonts w:ascii="Times New Roman" w:hAnsi="Times New Roman"/>
          <w:b w:val="false"/>
          <w:i w:val="false"/>
          <w:color w:val="000000"/>
          <w:sz w:val="22"/>
        </w:rPr>
        <w:t> </w:t>
      </w:r>
      <w:r>
        <w:rPr>
          <w:rFonts w:ascii="Times New Roman" w:hAnsi="Times New Roman"/>
          <w:b w:val="false"/>
          <w:i w:val="false"/>
          <w:color w:val="000000"/>
          <w:sz w:val="22"/>
        </w:rPr>
        <w:t>Fees for guardianship and conservatorship services provided by the state office will be assessed according to the following fee schedule: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283"/>
        <w:gridCol w:w="2907"/>
      </w:tblGrid>
      <w:tr>
        <w:trPr>
          <w:trHeight w:val="285" w:hRule="atLeast"/>
        </w:trPr>
        <w:tc>
          <w:tcPr>
            <w:tcW w:w="8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Action or Responsibility</w:t>
            </w:r>
          </w:p>
        </w:tc>
        <w:tc>
          <w:tcPr>
            <w:tcW w:w="29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Fee</w:t>
            </w:r>
          </w:p>
        </w:tc>
      </w:tr>
      <w:tr>
        <w:trPr>
          <w:trHeight w:val="480"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One-time case opening: </w:t>
            </w:r>
            <w:r>
              <w:br/>
            </w:r>
            <w:r>
              <w:rPr>
                <w:rFonts w:ascii="Times New Roman" w:hAnsi="Times New Roman"/>
                <w:b w:val="false"/>
                <w:i w:val="false"/>
                <w:color w:val="000000"/>
                <w:sz w:val="20"/>
              </w:rPr>
              <w:t>Guardianship</w:t>
            </w:r>
          </w:p>
        </w:tc>
        <w:tc>
          <w:tcPr>
            <w:tcW w:w="2907" w:type="dxa"/>
            <w:tcBorders/>
            <w:tcMar>
              <w:top w:w="30" w:type="dxa"/>
              <w:left w:w="30" w:type="dxa"/>
              <w:bottom w:w="15" w:type="dxa"/>
              <w:right w:w="30" w:type="dxa"/>
            </w:tcMar>
            <w:vAlign w:val="top"/>
          </w:tcPr>
          <w:p>
            <w:pPr>
              <w:spacing w:before="0" w:after="0"/>
              <w:ind w:left="0"/>
              <w:jc w:val="left"/>
            </w:pPr>
            <w:r>
              <w:br/>
            </w:r>
            <w:r>
              <w:rPr>
                <w:rFonts w:ascii="Times New Roman" w:hAnsi="Times New Roman"/>
                <w:b w:val="false"/>
                <w:i w:val="false"/>
                <w:color w:val="000000"/>
                <w:sz w:val="20"/>
              </w:rPr>
              <w:t>$200</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Conservatorship</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$300</w:t>
            </w:r>
          </w:p>
        </w:tc>
      </w:tr>
      <w:tr>
        <w:trPr>
          <w:trHeight w:val="270" w:hRule="atLeast"/>
        </w:trPr>
        <w:tc>
          <w:tcPr>
            <w:tcW w:w="82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Guardian and conservatorship</w:t>
            </w:r>
          </w:p>
        </w:tc>
        <w:tc>
          <w:tcPr>
            <w:tcW w:w="29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w:t>
            </w:r>
          </w:p>
        </w:tc>
      </w:tr>
      <w:tr>
        <w:trPr>
          <w:trHeight w:val="270"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Monthly guardianship and/or conservatorship services.</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Total value of liquid assets:</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$1,500 - $9,999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$10,000 - $19,999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$125</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$20,000 - $29,999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$150</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$30,000 - $39,999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$175</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$40,000 - $49,999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$50,000 - $59,999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$225</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$60,000 - $69,999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$250</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$70,000 - $79,999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$275</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$80,000 - $89,999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$300</w:t>
            </w:r>
          </w:p>
        </w:tc>
      </w:tr>
      <w:tr>
        <w:trPr>
          <w:trHeight w:val="255"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$90,000 - $99,999</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$325</w:t>
            </w:r>
          </w:p>
        </w:tc>
      </w:tr>
      <w:tr>
        <w:trPr>
          <w:trHeight w:val="270" w:hRule="atLeast"/>
        </w:trPr>
        <w:tc>
          <w:tcPr>
            <w:tcW w:w="828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$100,000 or above</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231.12(3)</w:t>
      </w:r>
      <w:r>
        <w:rPr>
          <w:rFonts w:ascii="Times New Roman" w:hAnsi="Times New Roman"/>
          <w:b w:val="false"/>
          <w:i w:val="false"/>
          <w:color w:val="000000"/>
          <w:sz w:val="22"/>
        </w:rPr>
        <w:t> </w:t>
      </w:r>
      <w:r>
        <w:rPr>
          <w:rFonts w:ascii="Times New Roman" w:hAnsi="Times New Roman"/>
          <w:b w:val="false"/>
          <w:i w:val="false"/>
          <w:color w:val="000000"/>
          <w:sz w:val="22"/>
        </w:rPr>
        <w:t>Fees for guardianship and conservatorship services provided by a local office will be assessed at the rates established by contract between the state office and a local office. Contracts between the state office and local offices are public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231.12(4)</w:t>
      </w:r>
      <w:r>
        <w:rPr>
          <w:rFonts w:ascii="Times New Roman" w:hAnsi="Times New Roman"/>
          <w:b w:val="false"/>
          <w:i w:val="false"/>
          <w:color w:val="000000"/>
          <w:sz w:val="22"/>
        </w:rPr>
        <w:t> </w:t>
      </w:r>
      <w:r>
        <w:rPr>
          <w:rFonts w:ascii="Times New Roman" w:hAnsi="Times New Roman"/>
          <w:b w:val="false"/>
          <w:i w:val="false"/>
          <w:color w:val="000000"/>
          <w:sz w:val="22"/>
        </w:rPr>
        <w:t>Fees for representative payee services will be as established by the federal governmental agency that appoints the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231.12(5)</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the state office or a local office may collect fees pursuant to court order for other actual, necessary and extraordinary services or expenses, including legal fees. Necessary and extraordinary services or expenses may include but are not limited to services or expenses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Recovering real or personal property or funds belonging to the protected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Bringing or defending against a suit or claim on behalf of the protected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Challenging the actions or accounting of a prior fiduciary,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Establishing a trust for the benefit of the protected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231.12(6)</w:t>
      </w:r>
      <w:r>
        <w:rPr>
          <w:rFonts w:ascii="Times New Roman" w:hAnsi="Times New Roman"/>
          <w:b w:val="false"/>
          <w:i w:val="false"/>
          <w:color w:val="000000"/>
          <w:sz w:val="22"/>
        </w:rPr>
        <w:t> </w:t>
      </w:r>
      <w:r>
        <w:rPr>
          <w:rFonts w:ascii="Times New Roman" w:hAnsi="Times New Roman"/>
          <w:b w:val="false"/>
          <w:i w:val="false"/>
          <w:color w:val="000000"/>
          <w:sz w:val="22"/>
        </w:rPr>
        <w:t>The state office or a local office may collect fees even when claims of creditors of the consumer may be compromised.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441—231.13</w:t>
      </w:r>
      <w:r>
        <w:rPr>
          <w:rFonts w:ascii="Times New Roman" w:hAnsi="Times New Roman"/>
          <w:b/>
          <w:i w:val="false"/>
          <w:color w:val="000000"/>
          <w:sz w:val="22"/>
        </w:rPr>
        <w:t xml:space="preserve">(231E,633) </w:t>
      </w:r>
      <w:r>
        <w:rPr>
          <w:rFonts w:ascii="Times New Roman" w:hAnsi="Times New Roman"/>
          <w:b/>
          <w:i w:val="false"/>
          <w:color w:val="000000"/>
          <w:sz w:val="22"/>
        </w:rPr>
        <w:t xml:space="preserve">Denial of services—appeal.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231.13(1)</w:t>
      </w:r>
      <w:r>
        <w:rPr>
          <w:rFonts w:ascii="Times New Roman" w:hAnsi="Times New Roman"/>
          <w:b w:val="false"/>
          <w:i w:val="false"/>
          <w:color w:val="000000"/>
          <w:sz w:val="22"/>
        </w:rPr>
        <w:t> </w:t>
      </w:r>
      <w:r>
        <w:rPr>
          <w:rFonts w:ascii="Times New Roman" w:hAnsi="Times New Roman"/>
          <w:b w:val="false"/>
          <w:i w:val="false"/>
          <w:color w:val="000000"/>
          <w:sz w:val="22"/>
        </w:rPr>
        <w:t>An application for services will be denied when it is determined by the state office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is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is not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is not aged 18 or older (or at least 17 and 6 months of age for appointment of a guardian or conservator on a standby basis for a minor approaching majority pursuant to Iowa Code section </w:t>
      </w:r>
      <w:hyperlink r:id="rId19">
        <w:r>
          <w:rPr>
            <w:rStyle w:val="Hyperlink"/>
            <w:rFonts w:ascii="Times New Roman" w:hAnsi="Times New Roman"/>
            <w:b w:val="false"/>
            <w:i w:val="false"/>
            <w:color w:val="000000"/>
            <w:sz w:val="22"/>
          </w:rPr>
          <w:t>633.567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has a suitable individual or appropriate entity willing and able to serve as guardian, conservator, 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 has adequate financial resources available to compensate a professional guardian, conservator, 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is not incompetent as defined in Iowa Code section </w:t>
      </w:r>
      <w:hyperlink r:id="rId20">
        <w:r>
          <w:rPr>
            <w:rStyle w:val="Hyperlink"/>
            <w:rFonts w:ascii="Times New Roman" w:hAnsi="Times New Roman"/>
            <w:b w:val="false"/>
            <w:i w:val="false"/>
            <w:color w:val="000000"/>
            <w:sz w:val="22"/>
          </w:rPr>
          <w:t>633.3(25)</w:t>
        </w:r>
      </w:hyperlink>
      <w:r>
        <w:rPr>
          <w:rFonts w:ascii="Times New Roman" w:hAnsi="Times New Roman"/>
          <w:b w:val="false"/>
          <w:i w:val="false"/>
          <w:color w:val="000000"/>
          <w:sz w:val="22"/>
        </w:rPr>
        <w:t xml:space="preserve"> (for appointment of a guardian or conservator);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individual is not incapable of managing the individual’s social security or SSI payments as determined by the Social Security Administration (for representative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individual is not an individual for whom guardianship, conservatorship, or representative payee services are the least restrictive means of meeting the individual’s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viable plan for improving the care and safety of the individual is not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will be provided in accordance with </w:t>
      </w:r>
      <w:hyperlink r:id="rId21">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wishing to challenge a denial based on paragraph </w:t>
      </w:r>
      <w:hyperlink r:id="rId22">
        <w:r>
          <w:rPr>
            <w:rStyle w:val="Hyperlink"/>
            <w:rFonts w:ascii="Times New Roman" w:hAnsi="Times New Roman"/>
            <w:b w:val="false"/>
            <w:i w:val="false"/>
            <w:color w:val="000000"/>
            <w:sz w:val="22"/>
          </w:rPr>
          <w:t>231.13(1)</w:t>
        </w:r>
      </w:hyperlink>
      <w:r>
        <w:rPr>
          <w:rFonts w:ascii="Times New Roman" w:hAnsi="Times New Roman"/>
          <w:b w:val="false"/>
          <w:i/>
          <w:color w:val="000000"/>
          <w:sz w:val="22"/>
        </w:rPr>
        <w:t>“f”</w:t>
      </w:r>
      <w:r>
        <w:rPr>
          <w:rFonts w:ascii="Times New Roman" w:hAnsi="Times New Roman"/>
          <w:b w:val="false"/>
          <w:i w:val="false"/>
          <w:color w:val="000000"/>
          <w:sz w:val="22"/>
        </w:rPr>
        <w:t xml:space="preserve"> may file a petition pursuant to Iowa Code section </w:t>
      </w:r>
      <w:hyperlink r:id="rId23">
        <w:r>
          <w:rPr>
            <w:rStyle w:val="Hyperlink"/>
            <w:rFonts w:ascii="Times New Roman" w:hAnsi="Times New Roman"/>
            <w:b w:val="false"/>
            <w:i w:val="false"/>
            <w:color w:val="000000"/>
            <w:sz w:val="22"/>
          </w:rPr>
          <w:t>633.556</w:t>
        </w:r>
      </w:hyperlink>
      <w:r>
        <w:rPr>
          <w:rFonts w:ascii="Times New Roman" w:hAnsi="Times New Roman"/>
          <w:b w:val="false"/>
          <w:i w:val="false"/>
          <w:color w:val="000000"/>
          <w:sz w:val="22"/>
        </w:rPr>
        <w:t xml:space="preserve"> within 30 days of the date of the denial and give notice of the filing of the petition to the state office of public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wishing to challenge a denial for any other reason listed in subrule </w:t>
      </w:r>
      <w:hyperlink r:id="rId24">
        <w:r>
          <w:rPr>
            <w:rStyle w:val="Hyperlink"/>
            <w:rFonts w:ascii="Times New Roman" w:hAnsi="Times New Roman"/>
            <w:b w:val="false"/>
            <w:i w:val="false"/>
            <w:color w:val="000000"/>
            <w:sz w:val="22"/>
          </w:rPr>
          <w:t>231.13(1)</w:t>
        </w:r>
      </w:hyperlink>
      <w:r>
        <w:rPr>
          <w:rFonts w:ascii="Times New Roman" w:hAnsi="Times New Roman"/>
          <w:b w:val="false"/>
          <w:i w:val="false"/>
          <w:color w:val="000000"/>
          <w:sz w:val="22"/>
        </w:rPr>
        <w:t xml:space="preserve"> may appeal in accordance with </w:t>
      </w:r>
      <w:hyperlink r:id="rId2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231.13(5)</w:t>
      </w:r>
      <w:r>
        <w:rPr>
          <w:rFonts w:ascii="Times New Roman" w:hAnsi="Times New Roman"/>
          <w:b w:val="false"/>
          <w:i w:val="false"/>
          <w:color w:val="000000"/>
          <w:sz w:val="22"/>
        </w:rPr>
        <w:t> </w:t>
      </w:r>
      <w:r>
        <w:rPr>
          <w:rFonts w:ascii="Times New Roman" w:hAnsi="Times New Roman"/>
          <w:b w:val="false"/>
          <w:i w:val="false"/>
          <w:color w:val="000000"/>
          <w:sz w:val="22"/>
        </w:rPr>
        <w:t>If the state office or a local office petitions to terminate services, a protected person or client may challenge that decision in the appropriate court or federal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441—231.14</w:t>
      </w:r>
      <w:r>
        <w:rPr>
          <w:rFonts w:ascii="Times New Roman" w:hAnsi="Times New Roman"/>
          <w:b/>
          <w:i w:val="false"/>
          <w:color w:val="000000"/>
          <w:sz w:val="22"/>
        </w:rPr>
        <w:t xml:space="preserve">(231E,633) </w:t>
      </w:r>
      <w:r>
        <w:rPr>
          <w:rFonts w:ascii="Times New Roman" w:hAnsi="Times New Roman"/>
          <w:b/>
          <w:i w:val="false"/>
          <w:color w:val="000000"/>
          <w:sz w:val="22"/>
        </w:rPr>
        <w:t xml:space="preserve">Contesting the actions of a guardian, conservator, or representative payee.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231.14(1)</w:t>
      </w:r>
      <w:r>
        <w:rPr>
          <w:rFonts w:ascii="Times New Roman" w:hAnsi="Times New Roman"/>
          <w:b w:val="false"/>
          <w:i w:val="false"/>
          <w:color w:val="000000"/>
          <w:sz w:val="22"/>
        </w:rPr>
        <w:t> </w:t>
      </w:r>
      <w:r>
        <w:rPr>
          <w:rFonts w:ascii="Times New Roman" w:hAnsi="Times New Roman"/>
          <w:b w:val="false"/>
          <w:i w:val="false"/>
          <w:color w:val="000000"/>
          <w:sz w:val="22"/>
        </w:rPr>
        <w:t>Each local office shall develop a complaint procedure for the internal investigation and resolution of complaints. The complaint procedure shall be made available on the local office’s website. The local office will provide a copy of the complaint procedure to each protected person and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231.14(2)</w:t>
      </w:r>
      <w:r>
        <w:rPr>
          <w:rFonts w:ascii="Times New Roman" w:hAnsi="Times New Roman"/>
          <w:b w:val="false"/>
          <w:i w:val="false"/>
          <w:color w:val="000000"/>
          <w:sz w:val="22"/>
        </w:rPr>
        <w:t> </w:t>
      </w:r>
      <w:r>
        <w:rPr>
          <w:rFonts w:ascii="Times New Roman" w:hAnsi="Times New Roman"/>
          <w:b w:val="false"/>
          <w:i w:val="false"/>
          <w:color w:val="000000"/>
          <w:sz w:val="22"/>
        </w:rPr>
        <w:t>If a complaint is not resolved by the local office to the satisfaction of the complainant, the complainant may express the complainant’s concerns to the state office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231.14(3)</w:t>
      </w:r>
      <w:r>
        <w:rPr>
          <w:rFonts w:ascii="Times New Roman" w:hAnsi="Times New Roman"/>
          <w:b w:val="false"/>
          <w:i w:val="false"/>
          <w:color w:val="000000"/>
          <w:sz w:val="22"/>
        </w:rPr>
        <w:t> </w:t>
      </w:r>
      <w:r>
        <w:rPr>
          <w:rFonts w:ascii="Times New Roman" w:hAnsi="Times New Roman"/>
          <w:b w:val="false"/>
          <w:i w:val="false"/>
          <w:color w:val="000000"/>
          <w:sz w:val="22"/>
        </w:rPr>
        <w:t>The state office will advise the complainant that the complainant may also raise any concerns with the court or with the federal governmental agency with oversight of the representative payee.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9497C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6">
        <w:r>
          <w:rPr>
            <w:rStyle w:val="Hyperlink"/>
            <w:rFonts w:ascii="Times New Roman" w:hAnsi="Times New Roman"/>
            <w:b w:val="false"/>
            <w:i w:val="false"/>
            <w:color w:val="000000"/>
            <w:sz w:val="22"/>
          </w:rPr>
          <w:t>231E</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9497C</w:t>
      </w:r>
      <w:r>
        <w:rPr>
          <w:rFonts w:ascii="Times New Roman" w:hAnsi="Times New Roman"/>
          <w:b w:val="false"/>
          <w:i w:val="false"/>
          <w:color w:val="000000"/>
          <w:sz w:val="21"/>
        </w:rPr>
        <w:t xml:space="preserve"> (Notice ARC 9380C, IAB 6/25/25)</w:t>
      </w:r>
      <w:r>
        <w:rPr>
          <w:rFonts w:ascii="Times New Roman" w:hAnsi="Times New Roman"/>
          <w:b w:val="false"/>
          <w:i w:val="false"/>
          <w:color w:val="000000"/>
          <w:sz w:val="21"/>
        </w:rPr>
        <w:t>, IAB 8/20/25, effective 10/1/25]</w:t>
      </w:r>
    </w:p>
    <w:p>
      <w:pPr>
        <w:spacing w:before="0" w:after="0"/>
        <w:ind w:left="120"/>
        <w:jc w:val="center"/>
      </w:pPr>
      <w:r>
        <w:rPr>
          <w:rFonts w:ascii="Times New Roman" w:hAnsi="Times New Roman"/>
          <w:b w:val="false"/>
          <w:i w:val="false"/>
          <w:color w:val="000000"/>
          <w:sz w:val="21"/>
        </w:rPr>
        <w:t>[Editorial change: IAC Supplement 6/10/26]</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E.pdf" Type="http://schemas.openxmlformats.org/officeDocument/2006/relationships/hyperlink" Id="rId5"/>
    <Relationship TargetMode="External" Target="https://www.legis.iowa.gov/docs/ico/chapter/231E.pdf" Type="http://schemas.openxmlformats.org/officeDocument/2006/relationships/hyperlink" Id="rId6"/>
    <Relationship TargetMode="External" Target="https://www.legis.iowa.gov/docs/ico/chapter/633.pdf" Type="http://schemas.openxmlformats.org/officeDocument/2006/relationships/hyperlink" Id="rId7"/>
    <Relationship TargetMode="External" Target="https://www.legis.iowa.gov/docs/ico/chapter/231E.pdf" Type="http://schemas.openxmlformats.org/officeDocument/2006/relationships/hyperlink" Id="rId8"/>
    <Relationship TargetMode="External" Target="https://www.legis.iowa.gov/docs/iac/rule/441.231.7.pdf" Type="http://schemas.openxmlformats.org/officeDocument/2006/relationships/hyperlink" Id="rId9"/>
    <Relationship TargetMode="External" Target="https://www.legis.iowa.gov/docs/ico/chapter/633.552.pdf" Type="http://schemas.openxmlformats.org/officeDocument/2006/relationships/hyperlink" Id="rId10"/>
    <Relationship TargetMode="External" Target="https://www.legis.iowa.gov/docs/ico/chapter/633.553.pdf" Type="http://schemas.openxmlformats.org/officeDocument/2006/relationships/hyperlink" Id="rId11"/>
    <Relationship TargetMode="External" Target="https://www.legis.iowa.gov/docs/ico/chapter/633.567.pdf" Type="http://schemas.openxmlformats.org/officeDocument/2006/relationships/hyperlink" Id="rId12"/>
    <Relationship TargetMode="External" Target="https://www.legis.iowa.gov/docs/ico/chapter/633.3.pdf" Type="http://schemas.openxmlformats.org/officeDocument/2006/relationships/hyperlink" Id="rId13"/>
    <Relationship TargetMode="External" Target="https://www.legis.iowa.gov/docs/iac/rule/441.231.7.pdf" Type="http://schemas.openxmlformats.org/officeDocument/2006/relationships/hyperlink" Id="rId14"/>
    <Relationship TargetMode="External" Target="https://www.legis.iowa.gov/docs/ico/chapter/633.556.pdf" Type="http://schemas.openxmlformats.org/officeDocument/2006/relationships/hyperlink" Id="rId15"/>
    <Relationship TargetMode="External" Target="https://www.legis.iowa.gov/docs/ico/chapter/231E.4.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ac/chapter/441.2505.pdf" Type="http://schemas.openxmlformats.org/officeDocument/2006/relationships/hyperlink" Id="rId18"/>
    <Relationship TargetMode="External" Target="https://www.legis.iowa.gov/docs/ico/chapter/633.567.pdf" Type="http://schemas.openxmlformats.org/officeDocument/2006/relationships/hyperlink" Id="rId19"/>
    <Relationship TargetMode="External" Target="https://www.legis.iowa.gov/docs/ico/chapter/633.3.pdf" Type="http://schemas.openxmlformats.org/officeDocument/2006/relationships/hyperlink" Id="rId20"/>
    <Relationship TargetMode="External" Target="https://www.legis.iowa.gov/docs/iac/chapter/441.16.pdf" Type="http://schemas.openxmlformats.org/officeDocument/2006/relationships/hyperlink" Id="rId21"/>
    <Relationship TargetMode="External" Target="https://www.legis.iowa.gov/docs/iac/rule/441.231.13.pdf" Type="http://schemas.openxmlformats.org/officeDocument/2006/relationships/hyperlink" Id="rId22"/>
    <Relationship TargetMode="External" Target="https://www.legis.iowa.gov/docs/ico/chapter/633.556.pdf" Type="http://schemas.openxmlformats.org/officeDocument/2006/relationships/hyperlink" Id="rId23"/>
    <Relationship TargetMode="External" Target="https://www.legis.iowa.gov/docs/iac/rule/441.231.13.pdf" Type="http://schemas.openxmlformats.org/officeDocument/2006/relationships/hyperlink" Id="rId24"/>
    <Relationship TargetMode="External" Target="https://www.legis.iowa.gov/docs/iac/chapter/441.2506.pdf" Type="http://schemas.openxmlformats.org/officeDocument/2006/relationships/hyperlink" Id="rId25"/>
    <Relationship TargetMode="External" Target="https://www.legis.iowa.gov/docs/ico/chapter/231E.pdf" Type="http://schemas.openxmlformats.org/officeDocument/2006/relationships/hyperlink" Id="rId26"/>
    <Relationship TargetMode="External" Target="https://www.legis.iowa.gov/docs/ico/chapter/633.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