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229</w:t>
      </w:r>
    </w:p>
    <w:p>
      <w:pPr>
        <w:spacing w:before="0" w:after="0"/>
        <w:ind w:left="120"/>
        <w:jc w:val="center"/>
      </w:pPr>
      <w:r>
        <w:rPr>
          <w:rFonts w:ascii="Times New Roman" w:hAnsi="Times New Roman"/>
          <w:b w:val="false"/>
          <w:i w:val="false"/>
          <w:color w:val="000000"/>
          <w:sz w:val="21"/>
        </w:rPr>
        <w:t>DATA COLLECTION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441—229.1</w:t>
      </w:r>
      <w:r>
        <w:rPr>
          <w:rFonts w:ascii="Times New Roman" w:hAnsi="Times New Roman"/>
          <w:b/>
          <w:i w:val="false"/>
          <w:color w:val="000000"/>
          <w:sz w:val="22"/>
        </w:rPr>
        <w:t xml:space="preserve">(231)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The director is the principal officer of the state to administer DAP aging and disability services data reporting. The department will collect and maintain data on all clients served in accordance with Iowa Code section </w:t>
      </w:r>
      <w:hyperlink r:id="rId5">
        <w:r>
          <w:rPr>
            <w:rStyle w:val="Hyperlink"/>
            <w:rFonts w:ascii="Times New Roman" w:hAnsi="Times New Roman"/>
            <w:b w:val="false"/>
            <w:i w:val="false"/>
            <w:color w:val="000000"/>
            <w:sz w:val="22"/>
          </w:rPr>
          <w:t>231.56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229.1(1)</w:t>
      </w:r>
      <w:r>
        <w:rPr>
          <w:rFonts w:ascii="Times New Roman" w:hAnsi="Times New Roman"/>
          <w:b w:val="false"/>
          <w:i w:val="false"/>
          <w:color w:val="000000"/>
          <w:sz w:val="22"/>
        </w:rPr>
        <w:t> </w:t>
      </w:r>
      <w:r>
        <w:rPr>
          <w:rFonts w:ascii="Times New Roman" w:hAnsi="Times New Roman"/>
          <w:b w:val="false"/>
          <w:i/>
          <w:color w:val="000000"/>
          <w:sz w:val="22"/>
        </w:rPr>
        <w:t xml:space="preserve">Submission of data. </w:t>
      </w:r>
      <w:r>
        <w:rPr>
          <w:rFonts w:ascii="Times New Roman" w:hAnsi="Times New Roman"/>
          <w:b w:val="false"/>
          <w:i w:val="false"/>
          <w:color w:val="000000"/>
          <w:sz w:val="22"/>
        </w:rPr>
        <w:t>Each DAP shall submit to the department the data regarding each individual the DAP 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DAPs shall submit data according to the frequency, file layouts, format, and naming conventions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DAP is notified by the department that the data are incomplete or are not compliant with the prescribed file layouts, format, or naming conventions, the DAP must correct the issue within 30 days of the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229.1(2)</w:t>
      </w:r>
      <w:r>
        <w:rPr>
          <w:rFonts w:ascii="Times New Roman" w:hAnsi="Times New Roman"/>
          <w:b w:val="false"/>
          <w:i w:val="false"/>
          <w:color w:val="000000"/>
          <w:sz w:val="22"/>
        </w:rPr>
        <w:t> </w:t>
      </w:r>
      <w:r>
        <w:rPr>
          <w:rFonts w:ascii="Times New Roman" w:hAnsi="Times New Roman"/>
          <w:b w:val="false"/>
          <w:i/>
          <w:color w:val="000000"/>
          <w:sz w:val="22"/>
        </w:rPr>
        <w:t xml:space="preserve">Data required. </w:t>
      </w:r>
      <w:r>
        <w:rPr>
          <w:rFonts w:ascii="Times New Roman" w:hAnsi="Times New Roman"/>
          <w:b w:val="false"/>
          <w:i w:val="false"/>
          <w:color w:val="000000"/>
          <w:sz w:val="22"/>
        </w:rPr>
        <w:t>The data to be submitted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 client-level information, including a unique identifier, name, address, demographic information, service delivery information, referral information, and any other information as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 identification number,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Demographic information, including but not limited to date of birth, sex, ethnicity, marital status, education, residential living arrangement, current employment status, monthly income, income sources, type of insurance, insurance carrier, veteran status, guardianship status, legal status in the system, source of referral, and diagnosis code in the International Classification of Diseases (ICD) as amended to July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 information, including but not limited to the decision on services, date of decision, termination date and reason for termination, residence, approved service, service beginning dates, service ending dates, reason for terminating each service, approved units of services, unit rate for service, expenditure data, and provider data.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9282C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231.56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9282C</w:t>
      </w:r>
      <w:r>
        <w:rPr>
          <w:rFonts w:ascii="Times New Roman" w:hAnsi="Times New Roman"/>
          <w:b w:val="false"/>
          <w:i w:val="false"/>
          <w:color w:val="000000"/>
          <w:sz w:val="21"/>
        </w:rPr>
        <w:t xml:space="preserve"> (Notice ARC 9018C, IAB 3/19/25)</w:t>
      </w:r>
      <w:r>
        <w:rPr>
          <w:rFonts w:ascii="Times New Roman" w:hAnsi="Times New Roman"/>
          <w:b w:val="false"/>
          <w:i w:val="false"/>
          <w:color w:val="000000"/>
          <w:sz w:val="21"/>
        </w:rPr>
        <w:t>, IAB 5/14/25, effective 7/1/25]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1.56.pdf" Type="http://schemas.openxmlformats.org/officeDocument/2006/relationships/hyperlink" Id="rId5"/>
    <Relationship TargetMode="External" Target="https://www.legis.iowa.gov/docs/ico/chapter/231.56.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