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228</w:t>
      </w:r>
    </w:p>
    <w:p>
      <w:pPr>
        <w:spacing w:before="0" w:after="0"/>
        <w:ind w:left="120"/>
        <w:jc w:val="center"/>
      </w:pPr>
      <w:r>
        <w:rPr>
          <w:rFonts w:ascii="Times New Roman" w:hAnsi="Times New Roman"/>
          <w:b w:val="false"/>
          <w:i w:val="false"/>
          <w:color w:val="000000"/>
          <w:sz w:val="21"/>
        </w:rPr>
        <w:t>DELIVERY OF AGING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441—228.1</w:t>
      </w:r>
      <w:r>
        <w:rPr>
          <w:rFonts w:ascii="Times New Roman" w:hAnsi="Times New Roman"/>
          <w:b/>
          <w:i w:val="false"/>
          <w:color w:val="000000"/>
          <w:sz w:val="22"/>
        </w:rPr>
        <w:t xml:space="preserve">(231) </w:t>
      </w:r>
      <w:r>
        <w:rPr>
          <w:rFonts w:ascii="Times New Roman" w:hAnsi="Times New Roman"/>
          <w:b/>
          <w:i w:val="false"/>
          <w:color w:val="000000"/>
          <w:sz w:val="22"/>
        </w:rPr>
        <w:t xml:space="preserve">Aging service delivery.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228.1(1)</w:t>
      </w:r>
      <w:r>
        <w:rPr>
          <w:rFonts w:ascii="Times New Roman" w:hAnsi="Times New Roman"/>
          <w:b w:val="false"/>
          <w:i w:val="false"/>
          <w:color w:val="000000"/>
          <w:sz w:val="22"/>
        </w:rPr>
        <w:t> </w:t>
      </w:r>
      <w:r>
        <w:rPr>
          <w:rFonts w:ascii="Times New Roman" w:hAnsi="Times New Roman"/>
          <w:b w:val="false"/>
          <w:i w:val="false"/>
          <w:color w:val="000000"/>
          <w:sz w:val="22"/>
        </w:rPr>
        <w:t>The federal Act authorizes grants to states to deliver a range of services through the area agencies on aging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Supportive services and senior centers (Title III,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Nutrition services (Title III, Part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Evidence-based disease prevention and health promotion services (Title III, Part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caregiver support services (Title III, Part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Vulnerable elder rights protection activities (Title VII).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Programs for prevention of elder abuse, neglect, and exploitation (Title VII, 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legal assistance development program as described in </w:t>
      </w:r>
      <w:hyperlink r:id="rId5">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 xml:space="preserve"> (Title VII, Chapter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228.1(2)</w:t>
      </w:r>
      <w:r>
        <w:rPr>
          <w:rFonts w:ascii="Times New Roman" w:hAnsi="Times New Roman"/>
          <w:b w:val="false"/>
          <w:i w:val="false"/>
          <w:color w:val="000000"/>
          <w:sz w:val="22"/>
        </w:rPr>
        <w:t> </w:t>
      </w:r>
      <w:r>
        <w:rPr>
          <w:rFonts w:ascii="Times New Roman" w:hAnsi="Times New Roman"/>
          <w:b w:val="false"/>
          <w:i w:val="false"/>
          <w:color w:val="000000"/>
          <w:sz w:val="22"/>
        </w:rPr>
        <w:t>The department in its discretion may include additional services to meet the needs of individuals eligible for services under the federal Act. All services will be planned, approved, offered, monitored and evaluated in accordance with the federal Act; 45 CFR 1321 as amended to October 1, 2025; department policies and procedures; and area agency on aging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area agency on aging will identify in its area plan on aging the services to be provided in the PSA as defined in 441—Chapters </w:t>
      </w:r>
      <w:hyperlink r:id="rId6">
        <w:r>
          <w:rPr>
            <w:rStyle w:val="Hyperlink"/>
            <w:rFonts w:ascii="Times New Roman" w:hAnsi="Times New Roman"/>
            <w:b w:val="false"/>
            <w:i w:val="false"/>
            <w:color w:val="000000"/>
            <w:sz w:val="22"/>
          </w:rPr>
          <w:t>226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 department in its discretion may identify the mandatory services that an area agency on aging will include in its area plan on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441—228.2</w:t>
      </w:r>
      <w:r>
        <w:rPr>
          <w:rFonts w:ascii="Times New Roman" w:hAnsi="Times New Roman"/>
          <w:b/>
          <w:i w:val="false"/>
          <w:color w:val="000000"/>
          <w:sz w:val="22"/>
        </w:rPr>
        <w:t xml:space="preserve">(231) </w:t>
      </w:r>
      <w:r>
        <w:rPr>
          <w:rFonts w:ascii="Times New Roman" w:hAnsi="Times New Roman"/>
          <w:b/>
          <w:i w:val="false"/>
          <w:color w:val="000000"/>
          <w:sz w:val="22"/>
        </w:rPr>
        <w:t xml:space="preserve">Eligibility. </w:t>
      </w:r>
      <w:r>
        <w:rPr>
          <w:rFonts w:ascii="Times New Roman" w:hAnsi="Times New Roman"/>
          <w:b w:val="false"/>
          <w:i w:val="false"/>
          <w:color w:val="000000"/>
          <w:sz w:val="22"/>
        </w:rPr>
        <w:t>Older individuals and informal caregivers are eligible for Supporting Older Americans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228.2(1)</w:t>
      </w:r>
      <w:r>
        <w:rPr>
          <w:rFonts w:ascii="Times New Roman" w:hAnsi="Times New Roman"/>
          <w:b w:val="false"/>
          <w:i w:val="false"/>
          <w:color w:val="000000"/>
          <w:sz w:val="22"/>
        </w:rPr>
        <w:t> </w:t>
      </w:r>
      <w:r>
        <w:rPr>
          <w:rFonts w:ascii="Times New Roman" w:hAnsi="Times New Roman"/>
          <w:b w:val="false"/>
          <w:i/>
          <w:color w:val="000000"/>
          <w:sz w:val="22"/>
        </w:rPr>
        <w:t xml:space="preserve">General eligibility. </w:t>
      </w:r>
      <w:r>
        <w:rPr>
          <w:rFonts w:ascii="Times New Roman" w:hAnsi="Times New Roman"/>
          <w:b w:val="false"/>
          <w:i w:val="false"/>
          <w:color w:val="000000"/>
          <w:sz w:val="22"/>
        </w:rPr>
        <w:t>Eligibility requirements for services as set forth in Title III of the federal Act and 45 CFR 1321 as amended to October 1, 2025,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Older individual. </w:t>
      </w:r>
      <w:r>
        <w:rPr>
          <w:rFonts w:ascii="Times New Roman" w:hAnsi="Times New Roman"/>
          <w:b w:val="false"/>
          <w:i w:val="false"/>
          <w:color w:val="000000"/>
          <w:sz w:val="22"/>
        </w:rPr>
        <w:t>An older individual is a person aged 60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Caregivers of older individuals. </w:t>
      </w:r>
      <w:r>
        <w:rPr>
          <w:rFonts w:ascii="Times New Roman" w:hAnsi="Times New Roman"/>
          <w:b w:val="false"/>
          <w:i w:val="false"/>
          <w:color w:val="000000"/>
          <w:sz w:val="22"/>
        </w:rPr>
        <w:t>A family member, or another individual, who is aged 18 or older and is an informal provider of in-home and community care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older individual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of any age with Alzheimer’s disease or a disease or related disorder with neurological and organic brain dysfunction as defined in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Older relative caregivers. </w:t>
      </w:r>
      <w:r>
        <w:rPr>
          <w:rFonts w:ascii="Times New Roman" w:hAnsi="Times New Roman"/>
          <w:b w:val="false"/>
          <w:i w:val="false"/>
          <w:color w:val="000000"/>
          <w:sz w:val="22"/>
        </w:rPr>
        <w:t>An individual who is aged 55 or older and lives with, is the informal provider of in-home and community care to, and is the primary caregiver for a child or an individual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an older relative caregiver for a child, the older relative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the grandparent, step-grandparent, or other older relative (other than the parent) by blood, marriage, or adoption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the primary caregiver of the child because the biological or adoptive parents are unable or unwilling to serve as the primary caregivers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 legal relationship to the child, such as legal custody, adoption, or guardianship, or is raising the child informally.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an older relative caregiver for an individual with a disability, the older relative caregiver is the parent, grandparent, step-grandparent, or other older relative by blood, marriage, or adoption of the individual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228.2(2)</w:t>
      </w:r>
      <w:r>
        <w:rPr>
          <w:rFonts w:ascii="Times New Roman" w:hAnsi="Times New Roman"/>
          <w:b w:val="false"/>
          <w:i w:val="false"/>
          <w:color w:val="000000"/>
          <w:sz w:val="22"/>
        </w:rPr>
        <w:t> </w:t>
      </w:r>
      <w:r>
        <w:rPr>
          <w:rFonts w:ascii="Times New Roman" w:hAnsi="Times New Roman"/>
          <w:b w:val="false"/>
          <w:i/>
          <w:color w:val="000000"/>
          <w:sz w:val="22"/>
        </w:rPr>
        <w:t xml:space="preserve">Nutrition services. </w:t>
      </w:r>
      <w:r>
        <w:rPr>
          <w:rFonts w:ascii="Times New Roman" w:hAnsi="Times New Roman"/>
          <w:b w:val="false"/>
          <w:i w:val="false"/>
          <w:color w:val="000000"/>
          <w:sz w:val="22"/>
        </w:rPr>
        <w:t>Eligibility for nutrition services as set forth in Title III, Part C, of the federal Act includes older individuals and their spouses regardless of age, volunteers during meal hours, and individuals with disabilities who are not older individuals but who live with an older individual or reside in housing facilities occupied primarily by older individuals and at which congregate nutrition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228.2(3)</w:t>
      </w:r>
      <w:r>
        <w:rPr>
          <w:rFonts w:ascii="Times New Roman" w:hAnsi="Times New Roman"/>
          <w:b w:val="false"/>
          <w:i w:val="false"/>
          <w:color w:val="000000"/>
          <w:sz w:val="22"/>
        </w:rPr>
        <w:t> </w:t>
      </w:r>
      <w:r>
        <w:rPr>
          <w:rFonts w:ascii="Times New Roman" w:hAnsi="Times New Roman"/>
          <w:b w:val="false"/>
          <w:i/>
          <w:color w:val="000000"/>
          <w:sz w:val="22"/>
        </w:rPr>
        <w:t xml:space="preserve">Elder abuse prevention and awareness. </w:t>
      </w:r>
      <w:r>
        <w:rPr>
          <w:rFonts w:ascii="Times New Roman" w:hAnsi="Times New Roman"/>
          <w:b w:val="false"/>
          <w:i w:val="false"/>
          <w:color w:val="000000"/>
          <w:sz w:val="22"/>
        </w:rPr>
        <w:t xml:space="preserve">An older individual is eligible for elder abuse prevention and awareness activities if the older individual has experienced elder abuse or neglect or is at risk for elder abuse or neglect. The older individual cannot be a current resident in a “nursing facility” as defined in Iowa Code section </w:t>
      </w:r>
      <w:hyperlink r:id="rId8">
        <w:r>
          <w:rPr>
            <w:rStyle w:val="Hyperlink"/>
            <w:rFonts w:ascii="Times New Roman" w:hAnsi="Times New Roman"/>
            <w:b w:val="false"/>
            <w:i w:val="false"/>
            <w:color w:val="000000"/>
            <w:sz w:val="22"/>
          </w:rPr>
          <w:t>135C.1(15)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441—228.3</w:t>
      </w:r>
      <w:r>
        <w:rPr>
          <w:rFonts w:ascii="Times New Roman" w:hAnsi="Times New Roman"/>
          <w:b/>
          <w:i w:val="false"/>
          <w:color w:val="000000"/>
          <w:sz w:val="22"/>
        </w:rPr>
        <w:t xml:space="preserve">(231) </w:t>
      </w:r>
      <w:r>
        <w:rPr>
          <w:rFonts w:ascii="Times New Roman" w:hAnsi="Times New Roman"/>
          <w:b/>
          <w:i w:val="false"/>
          <w:color w:val="000000"/>
          <w:sz w:val="22"/>
        </w:rPr>
        <w:t xml:space="preserve">Supportive services and senior centers.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228.3(1)</w:t>
      </w:r>
      <w:r>
        <w:rPr>
          <w:rFonts w:ascii="Times New Roman" w:hAnsi="Times New Roman"/>
          <w:b w:val="false"/>
          <w:i w:val="false"/>
          <w:color w:val="000000"/>
          <w:sz w:val="22"/>
        </w:rPr>
        <w:t> </w:t>
      </w:r>
      <w:r>
        <w:rPr>
          <w:rFonts w:ascii="Times New Roman" w:hAnsi="Times New Roman"/>
          <w:b w:val="false"/>
          <w:i/>
          <w:color w:val="000000"/>
          <w:sz w:val="22"/>
        </w:rPr>
        <w:t xml:space="preserve">Authorized services. </w:t>
      </w:r>
      <w:r>
        <w:rPr>
          <w:rFonts w:ascii="Times New Roman" w:hAnsi="Times New Roman"/>
          <w:b w:val="false"/>
          <w:i w:val="false"/>
          <w:color w:val="000000"/>
          <w:sz w:val="22"/>
        </w:rPr>
        <w:t xml:space="preserve">Supportive services are access services, in-home supportive services, multipurpose senior centers, and legal services as set forth in the federal Act and </w:t>
      </w:r>
      <w:r>
        <w:rPr>
          <w:rFonts w:ascii="Times New Roman" w:hAnsi="Times New Roman"/>
          <w:b w:val="false"/>
          <w:i w:val="false"/>
          <w:color w:val="000000"/>
          <w:sz w:val="22"/>
        </w:rPr>
        <w:t>45 CFR 1321.85</w:t>
      </w:r>
      <w:r>
        <w:rPr>
          <w:rFonts w:ascii="Times New Roman" w:hAnsi="Times New Roman"/>
          <w:b w:val="false"/>
          <w:i w:val="false"/>
          <w:color w:val="000000"/>
          <w:sz w:val="22"/>
        </w:rPr>
        <w:t xml:space="preserve"> as amended to October 1, 2025. Specific supportive services that may be offered in Iowa are adult day, assisted transportation, case management, chore, homemaker, information and assistance, legal assistance, outreach, personal care, transportation, and other supportive services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228.3(2)</w:t>
      </w:r>
      <w:r>
        <w:rPr>
          <w:rFonts w:ascii="Times New Roman" w:hAnsi="Times New Roman"/>
          <w:b w:val="false"/>
          <w:i w:val="false"/>
          <w:color w:val="000000"/>
          <w:sz w:val="22"/>
        </w:rPr>
        <w:t> </w:t>
      </w:r>
      <w:r>
        <w:rPr>
          <w:rFonts w:ascii="Times New Roman" w:hAnsi="Times New Roman"/>
          <w:b w:val="false"/>
          <w:i/>
          <w:color w:val="000000"/>
          <w:sz w:val="22"/>
        </w:rPr>
        <w:t xml:space="preserve">Priority services. </w:t>
      </w:r>
      <w:r>
        <w:rPr>
          <w:rFonts w:ascii="Times New Roman" w:hAnsi="Times New Roman"/>
          <w:b w:val="false"/>
          <w:i w:val="false"/>
          <w:color w:val="000000"/>
          <w:sz w:val="22"/>
        </w:rPr>
        <w:t>In accordance with the federal Act and 45 CFR 1321 as amended to October 1, 2025, the department will identify and categorize specific Title III-B supportive services to be considered priority access services, in-home services, or a legal assistance service with a specified minimum percentage of Title III-B supportive services funds, less administrative costs, to be expended on priority services. An area agency on aging may request a waiver to the specified minimum percentage of Title III-B supportive services funds to be expended on the Title III-B priority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228.3(3)</w:t>
      </w:r>
      <w:r>
        <w:rPr>
          <w:rFonts w:ascii="Times New Roman" w:hAnsi="Times New Roman"/>
          <w:b w:val="false"/>
          <w:i w:val="false"/>
          <w:color w:val="000000"/>
          <w:sz w:val="22"/>
        </w:rPr>
        <w:t> </w:t>
      </w:r>
      <w:r>
        <w:rPr>
          <w:rFonts w:ascii="Times New Roman" w:hAnsi="Times New Roman"/>
          <w:b w:val="false"/>
          <w:i/>
          <w:color w:val="000000"/>
          <w:sz w:val="22"/>
        </w:rPr>
        <w:t xml:space="preserve">Legal assistance. </w:t>
      </w:r>
      <w:r>
        <w:rPr>
          <w:rFonts w:ascii="Times New Roman" w:hAnsi="Times New Roman"/>
          <w:b w:val="false"/>
          <w:i w:val="false"/>
          <w:color w:val="000000"/>
          <w:sz w:val="22"/>
        </w:rPr>
        <w:t>Legal assistance providers shall provide effective administrative and judicial representation to older individuals and demonstrate expertise in areas of law that are given priority in the federal Act for non-fee-generating issues affecting older individuals with greatest economic or social needs, including income and public entitlement benefits, health care, long-term care, nutrition, consumer law, housing, utilities, protective services, abuse, neglect, age discrimination, and defense of guardianship.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441—228.4</w:t>
      </w:r>
      <w:r>
        <w:rPr>
          <w:rFonts w:ascii="Times New Roman" w:hAnsi="Times New Roman"/>
          <w:b/>
          <w:i w:val="false"/>
          <w:color w:val="000000"/>
          <w:sz w:val="22"/>
        </w:rPr>
        <w:t xml:space="preserve">(231) </w:t>
      </w:r>
      <w:r>
        <w:rPr>
          <w:rFonts w:ascii="Times New Roman" w:hAnsi="Times New Roman"/>
          <w:b/>
          <w:i w:val="false"/>
          <w:color w:val="000000"/>
          <w:sz w:val="22"/>
        </w:rPr>
        <w:t xml:space="preserve">Nutrition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228.4(1)</w:t>
      </w:r>
      <w:r>
        <w:rPr>
          <w:rFonts w:ascii="Times New Roman" w:hAnsi="Times New Roman"/>
          <w:b w:val="false"/>
          <w:i w:val="false"/>
          <w:color w:val="000000"/>
          <w:sz w:val="22"/>
        </w:rPr>
        <w:t> </w:t>
      </w:r>
      <w:r>
        <w:rPr>
          <w:rFonts w:ascii="Times New Roman" w:hAnsi="Times New Roman"/>
          <w:b w:val="false"/>
          <w:i/>
          <w:color w:val="000000"/>
          <w:sz w:val="22"/>
        </w:rPr>
        <w:t xml:space="preserve">Authorized services. </w:t>
      </w:r>
      <w:r>
        <w:rPr>
          <w:rFonts w:ascii="Times New Roman" w:hAnsi="Times New Roman"/>
          <w:b w:val="false"/>
          <w:i w:val="false"/>
          <w:color w:val="000000"/>
          <w:sz w:val="22"/>
        </w:rPr>
        <w:t>Nutrition services are home-delivered nutrition, congregate nutrition, nutrition education, nutrition counseling and other nutrition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228.4(2)</w:t>
      </w:r>
      <w:r>
        <w:rPr>
          <w:rFonts w:ascii="Times New Roman" w:hAnsi="Times New Roman"/>
          <w:b w:val="false"/>
          <w:i w:val="false"/>
          <w:color w:val="000000"/>
          <w:sz w:val="22"/>
        </w:rPr>
        <w:t> </w:t>
      </w:r>
      <w:r>
        <w:rPr>
          <w:rFonts w:ascii="Times New Roman" w:hAnsi="Times New Roman"/>
          <w:b w:val="false"/>
          <w:i/>
          <w:color w:val="000000"/>
          <w:sz w:val="22"/>
        </w:rPr>
        <w:t xml:space="preserve">Nutrition project. </w:t>
      </w:r>
      <w:r>
        <w:rPr>
          <w:rFonts w:ascii="Times New Roman" w:hAnsi="Times New Roman"/>
          <w:b w:val="false"/>
          <w:i w:val="false"/>
          <w:color w:val="000000"/>
          <w:sz w:val="22"/>
        </w:rPr>
        <w:t>Nutrition project means congregate and home-delivered meals provided five or more days per week in a PSA by a qualified nutrition service provider under the state plan or area plan. Nutrition education, nutrition counseling, and other nutrition services are provided based on individual and community need and in coordination with other nutrition services available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228.4(3)</w:t>
      </w:r>
      <w:r>
        <w:rPr>
          <w:rFonts w:ascii="Times New Roman" w:hAnsi="Times New Roman"/>
          <w:b w:val="false"/>
          <w:i w:val="false"/>
          <w:color w:val="000000"/>
          <w:sz w:val="22"/>
        </w:rPr>
        <w:t> </w:t>
      </w:r>
      <w:r>
        <w:rPr>
          <w:rFonts w:ascii="Times New Roman" w:hAnsi="Times New Roman"/>
          <w:b w:val="false"/>
          <w:i/>
          <w:color w:val="000000"/>
          <w:sz w:val="22"/>
        </w:rPr>
        <w:t xml:space="preserve">Licensed dietitian. </w:t>
      </w:r>
      <w:r>
        <w:rPr>
          <w:rFonts w:ascii="Times New Roman" w:hAnsi="Times New Roman"/>
          <w:b w:val="false"/>
          <w:i w:val="false"/>
          <w:color w:val="000000"/>
          <w:sz w:val="22"/>
        </w:rPr>
        <w:t>Each area agency on aging will utilize the services of a licensed dietitian to provide technical assistance in nutrition program management and to ensure that the nutrition project provides meals that comply with the nutrition guidelines outlined in the federal Act and further defined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228.4(4)</w:t>
      </w:r>
      <w:r>
        <w:rPr>
          <w:rFonts w:ascii="Times New Roman" w:hAnsi="Times New Roman"/>
          <w:b w:val="false"/>
          <w:i w:val="false"/>
          <w:color w:val="000000"/>
          <w:sz w:val="22"/>
        </w:rPr>
        <w:t> </w:t>
      </w:r>
      <w:r>
        <w:rPr>
          <w:rFonts w:ascii="Times New Roman" w:hAnsi="Times New Roman"/>
          <w:b w:val="false"/>
          <w:i/>
          <w:color w:val="000000"/>
          <w:sz w:val="22"/>
        </w:rPr>
        <w:t xml:space="preserve">Food safety. </w:t>
      </w:r>
      <w:r>
        <w:rPr>
          <w:rFonts w:ascii="Times New Roman" w:hAnsi="Times New Roman"/>
          <w:b w:val="false"/>
          <w:i w:val="false"/>
          <w:color w:val="000000"/>
          <w:sz w:val="22"/>
        </w:rPr>
        <w:t>Nutrition service providers shall comply with all applicable state and local food and consumer safety and food establishment licensing, operating and inspection requirements. The occurrence or suspected occurrence of a foodborne illness by congregate nutrition or home-delivered nutrition services should be reported to the department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228.4(5)</w:t>
      </w:r>
      <w:r>
        <w:rPr>
          <w:rFonts w:ascii="Times New Roman" w:hAnsi="Times New Roman"/>
          <w:b w:val="false"/>
          <w:i w:val="false"/>
          <w:color w:val="000000"/>
          <w:sz w:val="22"/>
        </w:rPr>
        <w:t> </w:t>
      </w:r>
      <w:r>
        <w:rPr>
          <w:rFonts w:ascii="Times New Roman" w:hAnsi="Times New Roman"/>
          <w:b w:val="false"/>
          <w:i/>
          <w:color w:val="000000"/>
          <w:sz w:val="22"/>
        </w:rPr>
        <w:t xml:space="preserve">Ineligible individuals. </w:t>
      </w:r>
      <w:r>
        <w:rPr>
          <w:rFonts w:ascii="Times New Roman" w:hAnsi="Times New Roman"/>
          <w:b w:val="false"/>
          <w:i w:val="false"/>
          <w:color w:val="000000"/>
          <w:sz w:val="22"/>
        </w:rPr>
        <w:t>An individual who is not eligible for nutrition services may receive a meal by paying the full cost of the meal, including all programmatic and administrative costs, if the ineligible individual’s receipt of the meal does not deprive an eligible participant of a meal.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228.4(6)</w:t>
      </w:r>
      <w:r>
        <w:rPr>
          <w:rFonts w:ascii="Times New Roman" w:hAnsi="Times New Roman"/>
          <w:b w:val="false"/>
          <w:i w:val="false"/>
          <w:color w:val="000000"/>
          <w:sz w:val="22"/>
        </w:rPr>
        <w:t> </w:t>
      </w:r>
      <w:r>
        <w:rPr>
          <w:rFonts w:ascii="Times New Roman" w:hAnsi="Times New Roman"/>
          <w:b w:val="false"/>
          <w:i/>
          <w:color w:val="000000"/>
          <w:sz w:val="22"/>
        </w:rPr>
        <w:t xml:space="preserve">Nutrition education. </w:t>
      </w:r>
      <w:r>
        <w:rPr>
          <w:rFonts w:ascii="Times New Roman" w:hAnsi="Times New Roman"/>
          <w:b w:val="false"/>
          <w:i w:val="false"/>
          <w:color w:val="000000"/>
          <w:sz w:val="22"/>
        </w:rPr>
        <w:t>Nutrition education shall be offered in accordance with the federal Act and under the supervision of a licensed dietitian. Nutrition education shall be offered to all nutrition services consumers on a monthly basis, and recipients of home-delivered meals shall be offered nutrition education pertaining to safe food handling of the delivered meals twice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441—228.5</w:t>
      </w:r>
      <w:r>
        <w:rPr>
          <w:rFonts w:ascii="Times New Roman" w:hAnsi="Times New Roman"/>
          <w:b/>
          <w:i w:val="false"/>
          <w:color w:val="000000"/>
          <w:sz w:val="22"/>
        </w:rPr>
        <w:t xml:space="preserve">(231) </w:t>
      </w:r>
      <w:r>
        <w:rPr>
          <w:rFonts w:ascii="Times New Roman" w:hAnsi="Times New Roman"/>
          <w:b/>
          <w:i w:val="false"/>
          <w:color w:val="000000"/>
          <w:sz w:val="22"/>
        </w:rPr>
        <w:t xml:space="preserve">Evidence-based disease prevention and health promotion services. </w:t>
      </w:r>
      <w:r>
        <w:rPr>
          <w:rFonts w:ascii="Times New Roman" w:hAnsi="Times New Roman"/>
          <w:b w:val="false"/>
          <w:i w:val="false"/>
          <w:color w:val="000000"/>
          <w:sz w:val="22"/>
        </w:rPr>
        <w:t>Evidence-based disease prevention and health promotion are provided in accordance with the federal Act and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441—228.6</w:t>
      </w:r>
      <w:r>
        <w:rPr>
          <w:rFonts w:ascii="Times New Roman" w:hAnsi="Times New Roman"/>
          <w:b/>
          <w:i w:val="false"/>
          <w:color w:val="000000"/>
          <w:sz w:val="22"/>
        </w:rPr>
        <w:t xml:space="preserve">(231) </w:t>
      </w:r>
      <w:r>
        <w:rPr>
          <w:rFonts w:ascii="Times New Roman" w:hAnsi="Times New Roman"/>
          <w:b/>
          <w:i w:val="false"/>
          <w:color w:val="000000"/>
          <w:sz w:val="22"/>
        </w:rPr>
        <w:t xml:space="preserve">Family caregiver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228.6(1)</w:t>
      </w:r>
      <w:r>
        <w:rPr>
          <w:rFonts w:ascii="Times New Roman" w:hAnsi="Times New Roman"/>
          <w:b w:val="false"/>
          <w:i w:val="false"/>
          <w:color w:val="000000"/>
          <w:sz w:val="22"/>
        </w:rPr>
        <w:t> </w:t>
      </w:r>
      <w:r>
        <w:rPr>
          <w:rFonts w:ascii="Times New Roman" w:hAnsi="Times New Roman"/>
          <w:b w:val="false"/>
          <w:i/>
          <w:color w:val="000000"/>
          <w:sz w:val="22"/>
        </w:rPr>
        <w:t xml:space="preserve">Authorized services. </w:t>
      </w:r>
      <w:r>
        <w:rPr>
          <w:rFonts w:ascii="Times New Roman" w:hAnsi="Times New Roman"/>
          <w:b w:val="false"/>
          <w:i w:val="false"/>
          <w:color w:val="000000"/>
          <w:sz w:val="22"/>
        </w:rPr>
        <w:t>Family caregiver support services include information and service assistance, case management, counseling and training, support groups, respite, supplemental services, and other caregiver services as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228.6(2)</w:t>
      </w:r>
      <w:r>
        <w:rPr>
          <w:rFonts w:ascii="Times New Roman" w:hAnsi="Times New Roman"/>
          <w:b w:val="false"/>
          <w:i w:val="false"/>
          <w:color w:val="000000"/>
          <w:sz w:val="22"/>
        </w:rPr>
        <w:t> </w:t>
      </w:r>
      <w:r>
        <w:rPr>
          <w:rFonts w:ascii="Times New Roman" w:hAnsi="Times New Roman"/>
          <w:b w:val="false"/>
          <w:i/>
          <w:color w:val="000000"/>
          <w:sz w:val="22"/>
        </w:rPr>
        <w:t xml:space="preserve">Supplemental services. </w:t>
      </w:r>
      <w:r>
        <w:rPr>
          <w:rFonts w:ascii="Times New Roman" w:hAnsi="Times New Roman"/>
          <w:b w:val="false"/>
          <w:i w:val="false"/>
          <w:color w:val="000000"/>
          <w:sz w:val="22"/>
        </w:rPr>
        <w:t>Supplemental services may be provided to family caregivers on a limited basis to complement the care provided by family caregivers. The department will define a maximum percentage to be expended on supplemental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441—228.7</w:t>
      </w:r>
      <w:r>
        <w:rPr>
          <w:rFonts w:ascii="Times New Roman" w:hAnsi="Times New Roman"/>
          <w:b/>
          <w:i w:val="false"/>
          <w:color w:val="000000"/>
          <w:sz w:val="22"/>
        </w:rPr>
        <w:t xml:space="preserve">(231) </w:t>
      </w:r>
      <w:r>
        <w:rPr>
          <w:rFonts w:ascii="Times New Roman" w:hAnsi="Times New Roman"/>
          <w:b/>
          <w:i w:val="false"/>
          <w:color w:val="000000"/>
          <w:sz w:val="22"/>
        </w:rPr>
        <w:t xml:space="preserve">Prevention of elder abuse, neglect, and exploitation. </w:t>
      </w:r>
      <w:r>
        <w:rPr>
          <w:rFonts w:ascii="Times New Roman" w:hAnsi="Times New Roman"/>
          <w:b w:val="false"/>
          <w:i w:val="false"/>
          <w:color w:val="000000"/>
          <w:sz w:val="22"/>
        </w:rPr>
        <w:t>Area agencies on aging will directly provide older adult abuse prevention and awareness activities and coordinate assessment services for older individuals experiencing or at risk for experiencing abuse, neglect, or exploitation.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441—228.8</w:t>
      </w:r>
      <w:r>
        <w:rPr>
          <w:rFonts w:ascii="Times New Roman" w:hAnsi="Times New Roman"/>
          <w:b/>
          <w:i w:val="false"/>
          <w:color w:val="000000"/>
          <w:sz w:val="22"/>
        </w:rPr>
        <w:t xml:space="preserve">(231) </w:t>
      </w:r>
      <w:r>
        <w:rPr>
          <w:rFonts w:ascii="Times New Roman" w:hAnsi="Times New Roman"/>
          <w:b/>
          <w:i w:val="false"/>
          <w:color w:val="000000"/>
          <w:sz w:val="22"/>
        </w:rPr>
        <w:t xml:space="preserve">Service prioritization. </w:t>
      </w:r>
      <w:r>
        <w:rPr>
          <w:rFonts w:ascii="Times New Roman" w:hAnsi="Times New Roman"/>
          <w:b w:val="false"/>
          <w:i w:val="false"/>
          <w:color w:val="000000"/>
          <w:sz w:val="22"/>
        </w:rPr>
        <w:t>In the event that an area agency on aging or service provider is unable to provide service to eligible individuals in need of assistance and needs to implement a wait list, the area agency on aging will prioritize service delivery to eligible individuals with greatest social need, eligible individuals with greatest economic need, and those at risk for institutional placement in accordance with the federal Act, state plan, area plans, and department policies and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441—228.9</w:t>
      </w:r>
      <w:r>
        <w:rPr>
          <w:rFonts w:ascii="Times New Roman" w:hAnsi="Times New Roman"/>
          <w:b/>
          <w:i w:val="false"/>
          <w:color w:val="000000"/>
          <w:sz w:val="22"/>
        </w:rPr>
        <w:t xml:space="preserve">(231) </w:t>
      </w:r>
      <w:r>
        <w:rPr>
          <w:rFonts w:ascii="Times New Roman" w:hAnsi="Times New Roman"/>
          <w:b/>
          <w:i w:val="false"/>
          <w:color w:val="000000"/>
          <w:sz w:val="22"/>
        </w:rPr>
        <w:t xml:space="preserve">Service wait lists, unmet needs, and other changes to service. </w:t>
      </w:r>
      <w:r>
        <w:rPr>
          <w:rFonts w:ascii="Times New Roman" w:hAnsi="Times New Roman"/>
          <w:b w:val="false"/>
          <w:i w:val="false"/>
          <w:color w:val="000000"/>
          <w:sz w:val="22"/>
        </w:rPr>
        <w:t>The area agency on aging will assess, request, and obtain department approval for service wait lists, meal site closures, reduction in the number of meal site and home-delivered nutrition serving days, or opening or relocating nutrition projects prior to implementation in accordance with department policies and procedures. The request must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Reasons for the action, including an evaluation in a format prescribed by the department of the use of resources in meeting the needs of those in greatest social need and greatest economic need;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Impact on eligible individuals, including identifying new service gaps or filling service gaps by county or PSA.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441—228.10</w:t>
      </w:r>
      <w:r>
        <w:rPr>
          <w:rFonts w:ascii="Times New Roman" w:hAnsi="Times New Roman"/>
          <w:b/>
          <w:i w:val="false"/>
          <w:color w:val="000000"/>
          <w:sz w:val="22"/>
        </w:rPr>
        <w:t xml:space="preserve">(231) </w:t>
      </w:r>
      <w:r>
        <w:rPr>
          <w:rFonts w:ascii="Times New Roman" w:hAnsi="Times New Roman"/>
          <w:b/>
          <w:i w:val="false"/>
          <w:color w:val="000000"/>
          <w:sz w:val="22"/>
        </w:rPr>
        <w:t xml:space="preserve">Voluntary contributions. </w:t>
      </w:r>
      <w:r>
        <w:rPr>
          <w:rFonts w:ascii="Times New Roman" w:hAnsi="Times New Roman"/>
          <w:b w:val="false"/>
          <w:i w:val="false"/>
          <w:color w:val="000000"/>
          <w:sz w:val="22"/>
        </w:rPr>
        <w:t xml:space="preserve">All eligible individuals will be provided an opportunity to make a voluntary, confidential contribution to the cost of the service. No eligible individual or family caregiver will be denied service because the individual or family caregiver will not or cannot contribute to the cost of the service. Area agencies on aging will follow the regulations on voluntary contributions found in </w:t>
      </w:r>
      <w:r>
        <w:rPr>
          <w:rFonts w:ascii="Times New Roman" w:hAnsi="Times New Roman"/>
          <w:b w:val="false"/>
          <w:i w:val="false"/>
          <w:color w:val="000000"/>
          <w:sz w:val="22"/>
        </w:rPr>
        <w:t>45 CFR 1321.9(c)</w:t>
      </w:r>
      <w:r>
        <w:rPr>
          <w:rFonts w:ascii="Times New Roman" w:hAnsi="Times New Roman"/>
          <w:b w:val="false"/>
          <w:i w:val="false"/>
          <w:color w:val="000000"/>
          <w:sz w:val="22"/>
        </w:rPr>
        <w:t>(2)(x)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441—228.11</w:t>
      </w:r>
      <w:r>
        <w:rPr>
          <w:rFonts w:ascii="Times New Roman" w:hAnsi="Times New Roman"/>
          <w:b/>
          <w:i w:val="false"/>
          <w:color w:val="000000"/>
          <w:sz w:val="22"/>
        </w:rPr>
        <w:t xml:space="preserve">(231) </w:t>
      </w:r>
      <w:r>
        <w:rPr>
          <w:rFonts w:ascii="Times New Roman" w:hAnsi="Times New Roman"/>
          <w:b/>
          <w:i w:val="false"/>
          <w:color w:val="000000"/>
          <w:sz w:val="22"/>
        </w:rPr>
        <w:t xml:space="preserve">Membership fees. </w:t>
      </w:r>
      <w:r>
        <w:rPr>
          <w:rFonts w:ascii="Times New Roman" w:hAnsi="Times New Roman"/>
          <w:b w:val="false"/>
          <w:i w:val="false"/>
          <w:color w:val="000000"/>
          <w:sz w:val="22"/>
        </w:rPr>
        <w:t>Payment of a membership fee cannot be required of eligible participants to access programs and services that receive or have received funds under the federal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441—228.12</w:t>
      </w:r>
      <w:r>
        <w:rPr>
          <w:rFonts w:ascii="Times New Roman" w:hAnsi="Times New Roman"/>
          <w:b/>
          <w:i w:val="false"/>
          <w:color w:val="000000"/>
          <w:sz w:val="22"/>
        </w:rPr>
        <w:t xml:space="preserve">(231) </w:t>
      </w:r>
      <w:r>
        <w:rPr>
          <w:rFonts w:ascii="Times New Roman" w:hAnsi="Times New Roman"/>
          <w:b/>
          <w:i w:val="false"/>
          <w:color w:val="000000"/>
          <w:sz w:val="22"/>
        </w:rPr>
        <w:t xml:space="preserve">Prohibition against means testing. </w:t>
      </w:r>
      <w:r>
        <w:rPr>
          <w:rFonts w:ascii="Times New Roman" w:hAnsi="Times New Roman"/>
          <w:b w:val="false"/>
          <w:i w:val="false"/>
          <w:color w:val="000000"/>
          <w:sz w:val="22"/>
        </w:rPr>
        <w:t>No area agency on aging or its service provider may means test for service eligibility. Income from means-tested programs may not be used as a match for federal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subchapter VI.</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26.pdf" Type="http://schemas.openxmlformats.org/officeDocument/2006/relationships/hyperlink" Id="rId5"/>
    <Relationship TargetMode="External" Target="https://www.legis.iowa.gov/docs/iac/chapter/441.226.pdf" Type="http://schemas.openxmlformats.org/officeDocument/2006/relationships/hyperlink" Id="rId6"/>
    <Relationship TargetMode="External" Target="https://www.legis.iowa.gov/docs/iac/chapter/441.227.pdf" Type="http://schemas.openxmlformats.org/officeDocument/2006/relationships/hyperlink" Id="rId7"/>
    <Relationship TargetMode="External" Target="https://www.legis.iowa.gov/docs/ico/chapter/135C.1.pdf" Type="http://schemas.openxmlformats.org/officeDocument/2006/relationships/hyperlink" Id="rId8"/>
    <Relationship TargetMode="External" Target="https://www.legis.iowa.gov/docs/ico/chapter/23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