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227</w:t>
      </w:r>
    </w:p>
    <w:p>
      <w:pPr>
        <w:spacing w:before="0" w:after="0"/>
        <w:ind w:left="120"/>
        <w:jc w:val="center"/>
      </w:pPr>
      <w:r>
        <w:rPr>
          <w:rFonts w:ascii="Times New Roman" w:hAnsi="Times New Roman"/>
          <w:b w:val="false"/>
          <w:i w:val="false"/>
          <w:color w:val="000000"/>
          <w:sz w:val="21"/>
        </w:rPr>
        <w:t>AREA AGENCY ON AGING RESPONSIBILITIES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10/1/30</w:t>
      </w:r>
    </w:p>
    <w:p>
      <w:pPr>
        <w:spacing w:before="0" w:after="0"/>
        <w:ind w:left="120"/>
        <w:jc w:val="both"/>
      </w:pPr>
      <w:r>
        <w:rPr>
          <w:rFonts w:ascii="Times New Roman" w:hAnsi="Times New Roman"/>
          <w:b/>
          <w:i w:val="false"/>
          <w:color w:val="000000"/>
          <w:sz w:val="22"/>
        </w:rPr>
        <w:t>441—227.1</w:t>
      </w:r>
      <w:r>
        <w:rPr>
          <w:rFonts w:ascii="Times New Roman" w:hAnsi="Times New Roman"/>
          <w:b/>
          <w:i w:val="false"/>
          <w:color w:val="000000"/>
          <w:sz w:val="22"/>
        </w:rPr>
        <w:t xml:space="preserve">(231) </w:t>
      </w:r>
      <w:r>
        <w:rPr>
          <w:rFonts w:ascii="Times New Roman" w:hAnsi="Times New Roman"/>
          <w:b/>
          <w:i w:val="false"/>
          <w:color w:val="000000"/>
          <w:sz w:val="22"/>
        </w:rPr>
        <w:t xml:space="preserve">Area agency on aging responsibilities. </w:t>
      </w:r>
      <w:r>
        <w:rPr>
          <w:rFonts w:ascii="Times New Roman" w:hAnsi="Times New Roman"/>
          <w:b w:val="false"/>
          <w:i w:val="false"/>
          <w:color w:val="000000"/>
          <w:sz w:val="22"/>
        </w:rPr>
        <w:t xml:space="preserve">Each area agency on aging will be the lead on all aging issues on behalf of all older individuals and caregivers in each PSA in accordance with the federal Act; 45 CFR 1321 through 1324 as amended to October 1, 2025; Iowa Code chapter </w:t>
      </w:r>
      <w:hyperlink r:id="rId5">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 xml:space="preserve">; and policies and procedures defined by the department. Each area agency on aging is designated by the department as an aging and disability resource center as defined in rule </w:t>
      </w:r>
      <w:hyperlink r:id="rId6">
        <w:r>
          <w:rPr>
            <w:rStyle w:val="Hyperlink"/>
            <w:rFonts w:ascii="Times New Roman" w:hAnsi="Times New Roman"/>
            <w:b w:val="false"/>
            <w:i w:val="false"/>
            <w:color w:val="000000"/>
            <w:sz w:val="22"/>
          </w:rPr>
          <w:t>441—224.1</w:t>
        </w:r>
      </w:hyperlink>
      <w:r>
        <w:rPr>
          <w:rFonts w:ascii="Times New Roman" w:hAnsi="Times New Roman"/>
          <w:b w:val="false"/>
          <w:i w:val="false"/>
          <w:color w:val="000000"/>
          <w:sz w:val="22"/>
        </w:rPr>
        <w:t>(225A) and subject to the requirements therein.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441—227.2</w:t>
      </w:r>
      <w:r>
        <w:rPr>
          <w:rFonts w:ascii="Times New Roman" w:hAnsi="Times New Roman"/>
          <w:b/>
          <w:i w:val="false"/>
          <w:color w:val="000000"/>
          <w:sz w:val="22"/>
        </w:rPr>
        <w:t xml:space="preserve">(231) </w:t>
      </w:r>
      <w:r>
        <w:rPr>
          <w:rFonts w:ascii="Times New Roman" w:hAnsi="Times New Roman"/>
          <w:b/>
          <w:i w:val="false"/>
          <w:color w:val="000000"/>
          <w:sz w:val="22"/>
        </w:rPr>
        <w:t xml:space="preserve">Board of directors. </w:t>
      </w:r>
      <w:r>
        <w:rPr>
          <w:rFonts w:ascii="Times New Roman" w:hAnsi="Times New Roman"/>
          <w:b w:val="false"/>
          <w:i w:val="false"/>
          <w:color w:val="000000"/>
          <w:sz w:val="22"/>
        </w:rPr>
        <w:t xml:space="preserve">Each area agency on aging will have a board of directors in accordance with 45 CFR 1321 as amended to October 1, 2025; articles of incorporation; and bylaws. Pursuant to Iowa Code section </w:t>
      </w:r>
      <w:hyperlink r:id="rId7">
        <w:r>
          <w:rPr>
            <w:rStyle w:val="Hyperlink"/>
            <w:rFonts w:ascii="Times New Roman" w:hAnsi="Times New Roman"/>
            <w:b w:val="false"/>
            <w:i w:val="false"/>
            <w:color w:val="000000"/>
            <w:sz w:val="22"/>
          </w:rPr>
          <w:t>231.23</w:t>
        </w:r>
      </w:hyperlink>
      <w:r>
        <w:rPr>
          <w:rFonts w:ascii="Times New Roman" w:hAnsi="Times New Roman"/>
          <w:b w:val="false"/>
          <w:i w:val="false"/>
          <w:color w:val="000000"/>
          <w:sz w:val="22"/>
        </w:rPr>
        <w:t>, the area agency on aging will use the procedures defined by the department for selecting members of the area agency on aging’s board of directors. The selection procedure will be incorporated into the bylaws of the board of directors.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441—227.3</w:t>
      </w:r>
      <w:r>
        <w:rPr>
          <w:rFonts w:ascii="Times New Roman" w:hAnsi="Times New Roman"/>
          <w:b/>
          <w:i w:val="false"/>
          <w:color w:val="000000"/>
          <w:sz w:val="22"/>
        </w:rPr>
        <w:t xml:space="preserve">(231) </w:t>
      </w:r>
      <w:r>
        <w:rPr>
          <w:rFonts w:ascii="Times New Roman" w:hAnsi="Times New Roman"/>
          <w:b/>
          <w:i w:val="false"/>
          <w:color w:val="000000"/>
          <w:sz w:val="22"/>
        </w:rPr>
        <w:t xml:space="preserve">Staffing. </w:t>
      </w:r>
      <w:r>
        <w:rPr>
          <w:rFonts w:ascii="Times New Roman" w:hAnsi="Times New Roman"/>
          <w:b w:val="false"/>
          <w:i w:val="false"/>
          <w:color w:val="000000"/>
          <w:sz w:val="22"/>
        </w:rPr>
        <w:t>Each area agency on aging will ensure adequate staffing levels to meet the needs of the PSA and the approved area plan. Each area agency on aging must notify the department of changes in management-level staff within seven calendar days. Staff performing area agency on aging functions and services will demonstrate competency and knowledge pertinent to the staff’s areas of responsibility and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227.3(1)</w:t>
      </w: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Each area agency on aging’s board of directors will name a qualified director and may employ other staff as necessary to manage and monitor the area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227.3(2)</w:t>
      </w:r>
      <w:r>
        <w:rPr>
          <w:rFonts w:ascii="Times New Roman" w:hAnsi="Times New Roman"/>
          <w:b w:val="false"/>
          <w:i w:val="false"/>
          <w:color w:val="000000"/>
          <w:sz w:val="22"/>
        </w:rPr>
        <w:t> </w:t>
      </w:r>
      <w:r>
        <w:rPr>
          <w:rFonts w:ascii="Times New Roman" w:hAnsi="Times New Roman"/>
          <w:b w:val="false"/>
          <w:i/>
          <w:color w:val="000000"/>
          <w:sz w:val="22"/>
        </w:rPr>
        <w:t xml:space="preserve">Fiscal. </w:t>
      </w:r>
      <w:r>
        <w:rPr>
          <w:rFonts w:ascii="Times New Roman" w:hAnsi="Times New Roman"/>
          <w:b w:val="false"/>
          <w:i w:val="false"/>
          <w:color w:val="000000"/>
          <w:sz w:val="22"/>
        </w:rPr>
        <w:t>Each area agency on aging will have adequate staff or contractors to perform duties to manage and monitor the fiscal responsibilities of an area agency on aging.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227.3(3)</w:t>
      </w:r>
      <w:r>
        <w:rPr>
          <w:rFonts w:ascii="Times New Roman" w:hAnsi="Times New Roman"/>
          <w:b w:val="false"/>
          <w:i w:val="false"/>
          <w:color w:val="000000"/>
          <w:sz w:val="22"/>
        </w:rPr>
        <w:t> </w:t>
      </w:r>
      <w:r>
        <w:rPr>
          <w:rFonts w:ascii="Times New Roman" w:hAnsi="Times New Roman"/>
          <w:b w:val="false"/>
          <w:i/>
          <w:color w:val="000000"/>
          <w:sz w:val="22"/>
        </w:rPr>
        <w:t xml:space="preserve">Elder abuse prevention and awareness. </w:t>
      </w:r>
      <w:r>
        <w:rPr>
          <w:rFonts w:ascii="Times New Roman" w:hAnsi="Times New Roman"/>
          <w:b w:val="false"/>
          <w:i w:val="false"/>
          <w:color w:val="000000"/>
          <w:sz w:val="22"/>
        </w:rPr>
        <w:t>Staff and contractors completing elder abuse prevention and awareness activities must complete dependent adult mandatory reporter training requirements and any mandatory trainings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227.3(4)</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Staff and contractors completing case management activities must complete dependent adult mandatory reporter training requirements and any mandatory trainings from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441—227.4</w:t>
      </w:r>
      <w:r>
        <w:rPr>
          <w:rFonts w:ascii="Times New Roman" w:hAnsi="Times New Roman"/>
          <w:b/>
          <w:i w:val="false"/>
          <w:color w:val="000000"/>
          <w:sz w:val="22"/>
        </w:rPr>
        <w:t xml:space="preserve">(231) </w:t>
      </w:r>
      <w:r>
        <w:rPr>
          <w:rFonts w:ascii="Times New Roman" w:hAnsi="Times New Roman"/>
          <w:b/>
          <w:i w:val="false"/>
          <w:color w:val="000000"/>
          <w:sz w:val="22"/>
        </w:rPr>
        <w:t xml:space="preserve">Conflicts of interest. </w:t>
      </w:r>
      <w:r>
        <w:rPr>
          <w:rFonts w:ascii="Times New Roman" w:hAnsi="Times New Roman"/>
          <w:b w:val="false"/>
          <w:i w:val="false"/>
          <w:color w:val="000000"/>
          <w:sz w:val="22"/>
        </w:rPr>
        <w:t>Each area agency on aging will have policies and procedures regarding conflicts of interest at organizational and individual levels in accordance with the federal Act; 45 CFR 1321 as amended to October 1, 2025; and department policies and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441—227.5</w:t>
      </w:r>
      <w:r>
        <w:rPr>
          <w:rFonts w:ascii="Times New Roman" w:hAnsi="Times New Roman"/>
          <w:b/>
          <w:i w:val="false"/>
          <w:color w:val="000000"/>
          <w:sz w:val="22"/>
        </w:rPr>
        <w:t xml:space="preserve">(231) </w:t>
      </w:r>
      <w:r>
        <w:rPr>
          <w:rFonts w:ascii="Times New Roman" w:hAnsi="Times New Roman"/>
          <w:b/>
          <w:i w:val="false"/>
          <w:color w:val="000000"/>
          <w:sz w:val="22"/>
        </w:rPr>
        <w:t xml:space="preserve">Policies and procedures. </w:t>
      </w:r>
      <w:r>
        <w:rPr>
          <w:rFonts w:ascii="Times New Roman" w:hAnsi="Times New Roman"/>
          <w:b w:val="false"/>
          <w:i w:val="false"/>
          <w:color w:val="000000"/>
          <w:sz w:val="22"/>
        </w:rPr>
        <w:t>Each area agency on aging will develop and maintain policies and procedures in accordance with the federal Act; 45 CFR 1321 as amended to October 1, 2025; and requirements set forth by the department. All manuals, guidelines, and standards referred to by these rules will be maintained by the area agency on aging and available for public inspection and departmental monitoring.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441—227.6</w:t>
      </w:r>
      <w:r>
        <w:rPr>
          <w:rFonts w:ascii="Times New Roman" w:hAnsi="Times New Roman"/>
          <w:b/>
          <w:i w:val="false"/>
          <w:color w:val="000000"/>
          <w:sz w:val="22"/>
        </w:rPr>
        <w:t xml:space="preserve">(231)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227.6(1)</w:t>
      </w:r>
      <w:r>
        <w:rPr>
          <w:rFonts w:ascii="Times New Roman" w:hAnsi="Times New Roman"/>
          <w:b w:val="false"/>
          <w:i w:val="false"/>
          <w:color w:val="000000"/>
          <w:sz w:val="22"/>
        </w:rPr>
        <w:t> </w:t>
      </w:r>
      <w:r>
        <w:rPr>
          <w:rFonts w:ascii="Times New Roman" w:hAnsi="Times New Roman"/>
          <w:b w:val="false"/>
          <w:i/>
          <w:color w:val="000000"/>
          <w:sz w:val="22"/>
        </w:rPr>
        <w:t xml:space="preserve">Advisory council. </w:t>
      </w:r>
      <w:r>
        <w:rPr>
          <w:rFonts w:ascii="Times New Roman" w:hAnsi="Times New Roman"/>
          <w:b w:val="false"/>
          <w:i w:val="false"/>
          <w:color w:val="000000"/>
          <w:sz w:val="22"/>
        </w:rPr>
        <w:t>Each area agency on aging will establish an advisory council. The council shall carry out advisory functions that further the area agency on aging’s mission of developing and coordinating community-based systems of services for all older individuals and family and older relative caregivers specific to each PSA.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Composition of council. </w:t>
      </w:r>
      <w:r>
        <w:rPr>
          <w:rFonts w:ascii="Times New Roman" w:hAnsi="Times New Roman"/>
          <w:b w:val="false"/>
          <w:i w:val="false"/>
          <w:color w:val="000000"/>
          <w:sz w:val="22"/>
        </w:rPr>
        <w:t>The council shall include individuals and representatives of community organizations from or serving the PSA who will help to enhance the leadership role of the area agency on aging in developing community-based systems of services prioritizing those in greatest economic need and greatest social need. The advisory council shall be made up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More than 50 percent older individuals, including minority individuals who are participants or who are eligible to participate in programs under this rule, with efforts to include individuals identified as in greatest economic need and individuals identified as in greatest social need in </w:t>
      </w:r>
      <w:r>
        <w:rPr>
          <w:rFonts w:ascii="Times New Roman" w:hAnsi="Times New Roman"/>
          <w:b w:val="false"/>
          <w:i w:val="false"/>
          <w:color w:val="000000"/>
          <w:sz w:val="22"/>
        </w:rPr>
        <w:t>45 CFR 1321.65(b)(2)</w:t>
      </w:r>
      <w:r>
        <w:rPr>
          <w:rFonts w:ascii="Times New Roman" w:hAnsi="Times New Roman"/>
          <w:b w:val="false"/>
          <w:i w:val="false"/>
          <w:color w:val="000000"/>
          <w:sz w:val="22"/>
        </w:rPr>
        <w:t xml:space="preserve"> as amended to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Representatives of older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Family caregivers, which may include older relative caregivers;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Representatives of health care provider organizations, including providers of veterans’ health care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Representatives of service providers, which may include legal assistance, nutrition, evidence-based disease prevention and health promotion, caregiver, long-term care ombudsman, and other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Persons with leadership experience in the private and voluntary sectors;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Local elected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general public;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Representatives from Indian tribes, pueblos, or tribal aging programs;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Older relative caregivers, including kin and grandparent caregivers of children or adults aged 18 to 59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Conflicts of interest. </w:t>
      </w:r>
      <w:r>
        <w:rPr>
          <w:rFonts w:ascii="Times New Roman" w:hAnsi="Times New Roman"/>
          <w:b w:val="false"/>
          <w:i w:val="false"/>
          <w:color w:val="000000"/>
          <w:sz w:val="22"/>
        </w:rPr>
        <w:t>Pursuant to 45 CFR 1321 as amended to October 1, 2025, the advisory council shall not operate as a board of directors for the area agency on aging. Individuals may not serve on both the advisory council and the board of directors for the same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227.6(2)</w:t>
      </w:r>
      <w:r>
        <w:rPr>
          <w:rFonts w:ascii="Times New Roman" w:hAnsi="Times New Roman"/>
          <w:b w:val="false"/>
          <w:i w:val="false"/>
          <w:color w:val="000000"/>
          <w:sz w:val="22"/>
        </w:rPr>
        <w:t> </w:t>
      </w:r>
      <w:r>
        <w:rPr>
          <w:rFonts w:ascii="Times New Roman" w:hAnsi="Times New Roman"/>
          <w:b w:val="false"/>
          <w:i/>
          <w:color w:val="000000"/>
          <w:sz w:val="22"/>
        </w:rPr>
        <w:t xml:space="preserve">Public input. </w:t>
      </w:r>
      <w:r>
        <w:rPr>
          <w:rFonts w:ascii="Times New Roman" w:hAnsi="Times New Roman"/>
          <w:b w:val="false"/>
          <w:i w:val="false"/>
          <w:color w:val="000000"/>
          <w:sz w:val="22"/>
        </w:rPr>
        <w:t>Each area agency will have mechanisms and varied methods to obtain periodic views of older individuals, caregivers, service providers, and the public with a focus on those in greatest economic need and greatest social need. Additionally, the views of participants will be obtained about the services participants receive, which will be used to improve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441—227.7</w:t>
      </w:r>
      <w:r>
        <w:rPr>
          <w:rFonts w:ascii="Times New Roman" w:hAnsi="Times New Roman"/>
          <w:b/>
          <w:i w:val="false"/>
          <w:color w:val="000000"/>
          <w:sz w:val="22"/>
        </w:rPr>
        <w:t xml:space="preserve">(231) </w:t>
      </w:r>
      <w:r>
        <w:rPr>
          <w:rFonts w:ascii="Times New Roman" w:hAnsi="Times New Roman"/>
          <w:b/>
          <w:i w:val="false"/>
          <w:color w:val="000000"/>
          <w:sz w:val="22"/>
        </w:rPr>
        <w:t xml:space="preserve">Advocacy. </w:t>
      </w:r>
      <w:r>
        <w:rPr>
          <w:rFonts w:ascii="Times New Roman" w:hAnsi="Times New Roman"/>
          <w:b w:val="false"/>
          <w:i w:val="false"/>
          <w:color w:val="000000"/>
          <w:sz w:val="22"/>
        </w:rPr>
        <w:t>Each area agency on aging will serve as the public advocate for the development and enhancement of comprehensive and coordinated community-based systems of services in each community throughout and specific to each PSA. Each area agency on aging will carry out this responsibility in accordance with 45 CFR 1321 as amended to October 1, 2025. Advocacy requirements shall not supersede a prohibition contained in the federal appropriation on the use of federal funds to lobby the Congress or the lobbying provision applicable to private nonprofit agencies and organizations contained in OMB Circular A-122 as amended to October 1,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441—227.8</w:t>
      </w:r>
      <w:r>
        <w:rPr>
          <w:rFonts w:ascii="Times New Roman" w:hAnsi="Times New Roman"/>
          <w:b/>
          <w:i w:val="false"/>
          <w:color w:val="000000"/>
          <w:sz w:val="22"/>
        </w:rPr>
        <w:t xml:space="preserve">(231) </w:t>
      </w:r>
      <w:r>
        <w:rPr>
          <w:rFonts w:ascii="Times New Roman" w:hAnsi="Times New Roman"/>
          <w:b/>
          <w:i w:val="false"/>
          <w:color w:val="000000"/>
          <w:sz w:val="22"/>
        </w:rPr>
        <w:t xml:space="preserve">Area plan on aging. </w:t>
      </w:r>
      <w:r>
        <w:rPr>
          <w:rFonts w:ascii="Times New Roman" w:hAnsi="Times New Roman"/>
          <w:b w:val="false"/>
          <w:i w:val="false"/>
          <w:color w:val="000000"/>
          <w:sz w:val="22"/>
        </w:rPr>
        <w:t>Each area agency on aging will operate under an area plan on aging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227.8(1)</w:t>
      </w:r>
      <w:r>
        <w:rPr>
          <w:rFonts w:ascii="Times New Roman" w:hAnsi="Times New Roman"/>
          <w:b w:val="false"/>
          <w:i w:val="false"/>
          <w:color w:val="000000"/>
          <w:sz w:val="22"/>
        </w:rPr>
        <w:t> </w:t>
      </w:r>
      <w:r>
        <w:rPr>
          <w:rFonts w:ascii="Times New Roman" w:hAnsi="Times New Roman"/>
          <w:b w:val="false"/>
          <w:i/>
          <w:color w:val="000000"/>
          <w:sz w:val="22"/>
        </w:rPr>
        <w:t xml:space="preserve">Multiyear area plan on aging. </w:t>
      </w:r>
      <w:r>
        <w:rPr>
          <w:rFonts w:ascii="Times New Roman" w:hAnsi="Times New Roman"/>
          <w:b w:val="false"/>
          <w:i w:val="false"/>
          <w:color w:val="000000"/>
          <w:sz w:val="22"/>
        </w:rPr>
        <w:t xml:space="preserve">Each area agency on aging will develop and administer a two-, three-, or four-year area plan on aging specific to each PSA. Each area agency on aging will develop and submit the area plan on aging to the department for approval following the form, format, policies, and procedures specified by the department and in accordance with </w:t>
      </w:r>
      <w:r>
        <w:rPr>
          <w:rFonts w:ascii="Times New Roman" w:hAnsi="Times New Roman"/>
          <w:b w:val="false"/>
          <w:i w:val="false"/>
          <w:color w:val="000000"/>
          <w:sz w:val="22"/>
        </w:rPr>
        <w:t>45 CFR 1321.9</w:t>
      </w:r>
      <w:r>
        <w:rPr>
          <w:rFonts w:ascii="Times New Roman" w:hAnsi="Times New Roman"/>
          <w:b w:val="false"/>
          <w:i w:val="false"/>
          <w:color w:val="000000"/>
          <w:sz w:val="22"/>
        </w:rPr>
        <w:t xml:space="preserve"> and </w:t>
      </w:r>
      <w:r>
        <w:rPr>
          <w:rFonts w:ascii="Times New Roman" w:hAnsi="Times New Roman"/>
          <w:b w:val="false"/>
          <w:i w:val="false"/>
          <w:color w:val="000000"/>
          <w:sz w:val="22"/>
        </w:rPr>
        <w:t>1321.65</w:t>
      </w:r>
      <w:r>
        <w:rPr>
          <w:rFonts w:ascii="Times New Roman" w:hAnsi="Times New Roman"/>
          <w:b w:val="false"/>
          <w:i w:val="false"/>
          <w:color w:val="000000"/>
          <w:sz w:val="22"/>
        </w:rPr>
        <w:t xml:space="preserve"> as amended to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Area plan on aging annual update. </w:t>
      </w:r>
      <w:r>
        <w:rPr>
          <w:rFonts w:ascii="Times New Roman" w:hAnsi="Times New Roman"/>
          <w:b w:val="false"/>
          <w:i w:val="false"/>
          <w:color w:val="000000"/>
          <w:sz w:val="22"/>
        </w:rPr>
        <w:t>Each area agency on aging will provide an annual update to its multiyear area plan on aging according to department policies, procedures, and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Area plan on aging amendments. </w:t>
      </w:r>
      <w:r>
        <w:rPr>
          <w:rFonts w:ascii="Times New Roman" w:hAnsi="Times New Roman"/>
          <w:b w:val="false"/>
          <w:i w:val="false"/>
          <w:color w:val="000000"/>
          <w:sz w:val="22"/>
        </w:rPr>
        <w:t>Each area agency on aging will amend the approved area plan on aging and submit it to the department for approval when requested by the department or when necessary, according to 45 CFR 1321 as amended to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227.8(2)</w:t>
      </w:r>
      <w:r>
        <w:rPr>
          <w:rFonts w:ascii="Times New Roman" w:hAnsi="Times New Roman"/>
          <w:b w:val="false"/>
          <w:i w:val="false"/>
          <w:color w:val="000000"/>
          <w:sz w:val="22"/>
        </w:rPr>
        <w:t> </w:t>
      </w:r>
      <w:r>
        <w:rPr>
          <w:rFonts w:ascii="Times New Roman" w:hAnsi="Times New Roman"/>
          <w:b w:val="false"/>
          <w:i/>
          <w:color w:val="000000"/>
          <w:sz w:val="22"/>
        </w:rPr>
        <w:t xml:space="preserve">Advisory council review and comment. </w:t>
      </w:r>
      <w:r>
        <w:rPr>
          <w:rFonts w:ascii="Times New Roman" w:hAnsi="Times New Roman"/>
          <w:b w:val="false"/>
          <w:i w:val="false"/>
          <w:color w:val="000000"/>
          <w:sz w:val="22"/>
        </w:rPr>
        <w:t>Each area agency on aging will submit any new area plan on aging, annual updates, or amendments for review and comment to the advisory council before the new plan, annual update, or amendment is sent to the department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227.8(3)</w:t>
      </w:r>
      <w:r>
        <w:rPr>
          <w:rFonts w:ascii="Times New Roman" w:hAnsi="Times New Roman"/>
          <w:b w:val="false"/>
          <w:i w:val="false"/>
          <w:color w:val="000000"/>
          <w:sz w:val="22"/>
        </w:rPr>
        <w:t> </w:t>
      </w:r>
      <w:r>
        <w:rPr>
          <w:rFonts w:ascii="Times New Roman" w:hAnsi="Times New Roman"/>
          <w:b w:val="false"/>
          <w:i/>
          <w:color w:val="000000"/>
          <w:sz w:val="22"/>
        </w:rPr>
        <w:t xml:space="preserve">Public input. </w:t>
      </w:r>
      <w:r>
        <w:rPr>
          <w:rFonts w:ascii="Times New Roman" w:hAnsi="Times New Roman"/>
          <w:b w:val="false"/>
          <w:i w:val="false"/>
          <w:color w:val="000000"/>
          <w:sz w:val="22"/>
        </w:rPr>
        <w:t xml:space="preserve">Each area agency on aging will obtain public input in accordance with </w:t>
      </w:r>
      <w:r>
        <w:rPr>
          <w:rFonts w:ascii="Times New Roman" w:hAnsi="Times New Roman"/>
          <w:b w:val="false"/>
          <w:i w:val="false"/>
          <w:color w:val="000000"/>
          <w:sz w:val="22"/>
        </w:rPr>
        <w:t>45 CFR 1321.65</w:t>
      </w:r>
      <w:r>
        <w:rPr>
          <w:rFonts w:ascii="Times New Roman" w:hAnsi="Times New Roman"/>
          <w:b w:val="false"/>
          <w:i w:val="false"/>
          <w:color w:val="000000"/>
          <w:sz w:val="22"/>
        </w:rPr>
        <w:t xml:space="preserve"> as amended to October 1, 2025. Each area agency on aging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 minimum time period of at least 30 calendar days, unless a waiver is provided by the department during an emergency or when a time-sensitive action is otherwise necessary, for public review and comment on a new multiyear area plan on aging and area plan aging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 at least one public hearing on the area plan on aging and area plan amendments.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public hearing(s) will be held prior to submission of the area plan on aging or amendment(s) at a time that permits older individuals, public officials, and other interested parties reasonable opportunity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hearing(s) will be conducted in a barrier-free, fully accessible manner virtually or in person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public hearing agenda and associated documents will be accessible and available to the public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Direct service waiver requests will be listed as a separate agenda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Priority services will be listed as a separate agenda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area agency on aging will provide notice of the hearing in accordance with Iowa Code section </w:t>
      </w:r>
      <w:hyperlink r:id="rId8">
        <w:r>
          <w:rPr>
            <w:rStyle w:val="Hyperlink"/>
            <w:rFonts w:ascii="Times New Roman" w:hAnsi="Times New Roman"/>
            <w:b w:val="false"/>
            <w:i w:val="false"/>
            <w:color w:val="000000"/>
            <w:sz w:val="22"/>
          </w:rPr>
          <w:t>21.4(1)</w:t>
        </w:r>
      </w:hyperlink>
      <w:r>
        <w:rPr>
          <w:rFonts w:ascii="Times New Roman" w:hAnsi="Times New Roman"/>
          <w:b w:val="false"/>
          <w:i w:val="false"/>
          <w:color w:val="000000"/>
          <w:sz w:val="22"/>
        </w:rPr>
        <w:t xml:space="preserve"> and by sending notice to all known groups of older individuals, PSA public officials, and other interested parties. The notice will be issued 30 days prior to the public hearing and include the time, date, and location of the public hearing. Each area agency on aging will comply with any applicable state or federal laws and regulations governing public hearing processes and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441—227.9</w:t>
      </w:r>
      <w:r>
        <w:rPr>
          <w:rFonts w:ascii="Times New Roman" w:hAnsi="Times New Roman"/>
          <w:b/>
          <w:i w:val="false"/>
          <w:color w:val="000000"/>
          <w:sz w:val="22"/>
        </w:rPr>
        <w:t xml:space="preserve">(231) </w:t>
      </w:r>
      <w:r>
        <w:rPr>
          <w:rFonts w:ascii="Times New Roman" w:hAnsi="Times New Roman"/>
          <w:b/>
          <w:i w:val="false"/>
          <w:color w:val="000000"/>
          <w:sz w:val="22"/>
        </w:rPr>
        <w:t xml:space="preserve">Title III and Title VI coordination. </w:t>
      </w:r>
      <w:r>
        <w:rPr>
          <w:rFonts w:ascii="Times New Roman" w:hAnsi="Times New Roman"/>
          <w:b w:val="false"/>
          <w:i w:val="false"/>
          <w:color w:val="000000"/>
          <w:sz w:val="22"/>
        </w:rPr>
        <w:t xml:space="preserve">For an area agency on aging where Title VI programs exist within the area agency on aging’s PSA, the area agency on aging’s policies and procedures, developed in coordination with the relevant Title VI program director(s), as set forth in </w:t>
      </w:r>
      <w:r>
        <w:rPr>
          <w:rFonts w:ascii="Times New Roman" w:hAnsi="Times New Roman"/>
          <w:b w:val="false"/>
          <w:i w:val="false"/>
          <w:color w:val="000000"/>
          <w:sz w:val="22"/>
        </w:rPr>
        <w:t>45 CFR 1322.13(a)</w:t>
      </w:r>
      <w:r>
        <w:rPr>
          <w:rFonts w:ascii="Times New Roman" w:hAnsi="Times New Roman"/>
          <w:b w:val="false"/>
          <w:i w:val="false"/>
          <w:color w:val="000000"/>
          <w:sz w:val="22"/>
        </w:rPr>
        <w:t xml:space="preserve"> as amended to October 1, 2025, must explain how the area agency on aging’s network, including service providers, will coordinate with Title VI programs to ensure compliance with Section 306(a)(11)(B) of the federal Act (</w:t>
      </w:r>
      <w:r>
        <w:rPr>
          <w:rFonts w:ascii="Times New Roman" w:hAnsi="Times New Roman"/>
          <w:b w:val="false"/>
          <w:i w:val="false"/>
          <w:color w:val="000000"/>
          <w:sz w:val="22"/>
        </w:rPr>
        <w:t>42 U.S.C. 3026(a)(11)(B)</w:t>
      </w:r>
      <w:r>
        <w:rPr>
          <w:rFonts w:ascii="Times New Roman" w:hAnsi="Times New Roman"/>
          <w:b w:val="false"/>
          <w:i w:val="false"/>
          <w:color w:val="000000"/>
          <w:sz w:val="22"/>
        </w:rPr>
        <w:t xml:space="preserve"> as amended to October 1,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441—227.10</w:t>
      </w:r>
      <w:r>
        <w:rPr>
          <w:rFonts w:ascii="Times New Roman" w:hAnsi="Times New Roman"/>
          <w:b/>
          <w:i w:val="false"/>
          <w:color w:val="000000"/>
          <w:sz w:val="22"/>
        </w:rPr>
        <w:t xml:space="preserve">(231) </w:t>
      </w:r>
      <w:r>
        <w:rPr>
          <w:rFonts w:ascii="Times New Roman" w:hAnsi="Times New Roman"/>
          <w:b/>
          <w:i w:val="false"/>
          <w:color w:val="000000"/>
          <w:sz w:val="22"/>
        </w:rPr>
        <w:t xml:space="preserve">Fiscal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227.10(1)</w:t>
      </w:r>
      <w:r>
        <w:rPr>
          <w:rFonts w:ascii="Times New Roman" w:hAnsi="Times New Roman"/>
          <w:b w:val="false"/>
          <w:i w:val="false"/>
          <w:color w:val="000000"/>
          <w:sz w:val="22"/>
        </w:rPr>
        <w:t> </w:t>
      </w:r>
      <w:r>
        <w:rPr>
          <w:rFonts w:ascii="Times New Roman" w:hAnsi="Times New Roman"/>
          <w:b w:val="false"/>
          <w:i/>
          <w:color w:val="000000"/>
          <w:sz w:val="22"/>
        </w:rPr>
        <w:t xml:space="preserve">Expenditure of state and federal funds. </w:t>
      </w:r>
      <w:r>
        <w:rPr>
          <w:rFonts w:ascii="Times New Roman" w:hAnsi="Times New Roman"/>
          <w:b w:val="false"/>
          <w:i w:val="false"/>
          <w:color w:val="000000"/>
          <w:sz w:val="22"/>
        </w:rPr>
        <w:t xml:space="preserve">Each area agency on aging will adhere to the policies and procedures related to expenditure of state and federal funds developed in accordance with the federal Act; 45 CFR 1321 through 1324, 45 CFR 75, and 2 CFR 200, all as amended to October 1, 2025; Iowa Code chapter </w:t>
      </w:r>
      <w:hyperlink r:id="rId9">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 and department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227.10(2)</w:t>
      </w:r>
      <w:r>
        <w:rPr>
          <w:rFonts w:ascii="Times New Roman" w:hAnsi="Times New Roman"/>
          <w:b w:val="false"/>
          <w:i w:val="false"/>
          <w:color w:val="000000"/>
          <w:sz w:val="22"/>
        </w:rPr>
        <w:t> </w:t>
      </w:r>
      <w:r>
        <w:rPr>
          <w:rFonts w:ascii="Times New Roman" w:hAnsi="Times New Roman"/>
          <w:b w:val="false"/>
          <w:i/>
          <w:color w:val="000000"/>
          <w:sz w:val="22"/>
        </w:rPr>
        <w:t xml:space="preserve">Contracts and commercial relationships. </w:t>
      </w:r>
      <w:r>
        <w:rPr>
          <w:rFonts w:ascii="Times New Roman" w:hAnsi="Times New Roman"/>
          <w:b w:val="false"/>
          <w:i w:val="false"/>
          <w:color w:val="000000"/>
          <w:sz w:val="22"/>
        </w:rPr>
        <w:t xml:space="preserve">A contract or agreement between an area agency on aging and an outside entity will not restrict the area agency on aging from contracting with other entities that provide similar services. All contracts and commercial relationships must avoid conflicts of interest as detailed in rule </w:t>
      </w:r>
      <w:hyperlink r:id="rId10">
        <w:r>
          <w:rPr>
            <w:rStyle w:val="Hyperlink"/>
            <w:rFonts w:ascii="Times New Roman" w:hAnsi="Times New Roman"/>
            <w:b w:val="false"/>
            <w:i w:val="false"/>
            <w:color w:val="000000"/>
            <w:sz w:val="22"/>
          </w:rPr>
          <w:t>441—225.3</w:t>
        </w:r>
      </w:hyperlink>
      <w:r>
        <w:rPr>
          <w:rFonts w:ascii="Times New Roman" w:hAnsi="Times New Roman"/>
          <w:b w:val="false"/>
          <w:i w:val="false"/>
          <w:color w:val="000000"/>
          <w:sz w:val="22"/>
        </w:rPr>
        <w:t>(231).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area agency on aging will maintain a file of all current contracts and contracts up to three years. These files will be made available for monitoring and assessment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area agency on aging must request prior approval from the department 30 days prior to signing the contract for any proposed service contracts with for-profit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227.10(3)</w:t>
      </w:r>
      <w:r>
        <w:rPr>
          <w:rFonts w:ascii="Times New Roman" w:hAnsi="Times New Roman"/>
          <w:b w:val="false"/>
          <w:i w:val="false"/>
          <w:color w:val="000000"/>
          <w:sz w:val="22"/>
        </w:rPr>
        <w:t> </w:t>
      </w:r>
      <w:r>
        <w:rPr>
          <w:rFonts w:ascii="Times New Roman" w:hAnsi="Times New Roman"/>
          <w:b w:val="false"/>
          <w:i/>
          <w:color w:val="000000"/>
          <w:sz w:val="22"/>
        </w:rPr>
        <w:t xml:space="preserve">Program income. </w:t>
      </w:r>
      <w:r>
        <w:rPr>
          <w:rFonts w:ascii="Times New Roman" w:hAnsi="Times New Roman"/>
          <w:b w:val="false"/>
          <w:i w:val="false"/>
          <w:color w:val="000000"/>
          <w:sz w:val="22"/>
        </w:rPr>
        <w:t xml:space="preserve">Funds collected and qualifying as program income must be handled in accordance with </w:t>
      </w:r>
      <w:r>
        <w:rPr>
          <w:rFonts w:ascii="Times New Roman" w:hAnsi="Times New Roman"/>
          <w:b w:val="false"/>
          <w:i w:val="false"/>
          <w:color w:val="000000"/>
          <w:sz w:val="22"/>
        </w:rPr>
        <w:t>45 CFR 1321.9(c)</w:t>
      </w:r>
      <w:r>
        <w:rPr>
          <w:rFonts w:ascii="Times New Roman" w:hAnsi="Times New Roman"/>
          <w:b w:val="false"/>
          <w:i w:val="false"/>
          <w:color w:val="000000"/>
          <w:sz w:val="22"/>
        </w:rPr>
        <w:t>(2) as amended to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227.10(4)</w:t>
      </w:r>
      <w:r>
        <w:rPr>
          <w:rFonts w:ascii="Times New Roman" w:hAnsi="Times New Roman"/>
          <w:b w:val="false"/>
          <w:i w:val="false"/>
          <w:color w:val="000000"/>
          <w:sz w:val="22"/>
        </w:rPr>
        <w:t> </w:t>
      </w:r>
      <w:r>
        <w:rPr>
          <w:rFonts w:ascii="Times New Roman" w:hAnsi="Times New Roman"/>
          <w:b w:val="false"/>
          <w:i/>
          <w:color w:val="000000"/>
          <w:sz w:val="22"/>
        </w:rPr>
        <w:t xml:space="preserve">Cost sharing. </w:t>
      </w:r>
      <w:r>
        <w:rPr>
          <w:rFonts w:ascii="Times New Roman" w:hAnsi="Times New Roman"/>
          <w:b w:val="false"/>
          <w:i w:val="false"/>
          <w:color w:val="000000"/>
          <w:sz w:val="22"/>
        </w:rPr>
        <w:t>Area agencies on aging may apply for a waiver using the department’s processes to implement cost sharing for allowable services as part of the area plan on aging approval process consistent with 45 CFR 1321 as amended to October 1, 2025. Final approval of a cost sharing plan for each area agency on aging will be at the discretion of the department. If an area agency on aging has been approved by the department to implement cost sharing with consumers, each area agency on aging will follow the regulations of 45 CFR 1321 as amended to October 1, 2025. No eligible individual or family caregiver shall be denied service because the individual or family caregiver will not or cannot contribute to the cost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227.10(5)</w:t>
      </w:r>
      <w:r>
        <w:rPr>
          <w:rFonts w:ascii="Times New Roman" w:hAnsi="Times New Roman"/>
          <w:b w:val="false"/>
          <w:i w:val="false"/>
          <w:color w:val="000000"/>
          <w:sz w:val="22"/>
        </w:rPr>
        <w:t> </w:t>
      </w:r>
      <w:r>
        <w:rPr>
          <w:rFonts w:ascii="Times New Roman" w:hAnsi="Times New Roman"/>
          <w:b w:val="false"/>
          <w:i/>
          <w:color w:val="000000"/>
          <w:sz w:val="22"/>
        </w:rPr>
        <w:t xml:space="preserve">Private pay. </w:t>
      </w:r>
      <w:r>
        <w:rPr>
          <w:rFonts w:ascii="Times New Roman" w:hAnsi="Times New Roman"/>
          <w:b w:val="false"/>
          <w:i w:val="false"/>
          <w:color w:val="000000"/>
          <w:sz w:val="22"/>
        </w:rPr>
        <w:t>Each area agency on aging or service provider may implement private pay programs in accordance with 45 CFR 1321 as amended to October 1, 2025, and department processes.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227.10(6)</w:t>
      </w:r>
      <w:r>
        <w:rPr>
          <w:rFonts w:ascii="Times New Roman" w:hAnsi="Times New Roman"/>
          <w:b w:val="false"/>
          <w:i w:val="false"/>
          <w:color w:val="000000"/>
          <w:sz w:val="22"/>
        </w:rPr>
        <w:t> </w:t>
      </w:r>
      <w:r>
        <w:rPr>
          <w:rFonts w:ascii="Times New Roman" w:hAnsi="Times New Roman"/>
          <w:b w:val="false"/>
          <w:i/>
          <w:color w:val="000000"/>
          <w:sz w:val="22"/>
        </w:rPr>
        <w:t xml:space="preserve">Sectarian use. </w:t>
      </w:r>
      <w:r>
        <w:rPr>
          <w:rFonts w:ascii="Times New Roman" w:hAnsi="Times New Roman"/>
          <w:b w:val="false"/>
          <w:i w:val="false"/>
          <w:color w:val="000000"/>
          <w:sz w:val="22"/>
        </w:rPr>
        <w:t>Sectarian instruction or religious worship shall not be provided using funds received under the federal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441—227.11</w:t>
      </w:r>
      <w:r>
        <w:rPr>
          <w:rFonts w:ascii="Times New Roman" w:hAnsi="Times New Roman"/>
          <w:b/>
          <w:i w:val="false"/>
          <w:color w:val="000000"/>
          <w:sz w:val="22"/>
        </w:rPr>
        <w:t xml:space="preserve">(231) </w:t>
      </w:r>
      <w:r>
        <w:rPr>
          <w:rFonts w:ascii="Times New Roman" w:hAnsi="Times New Roman"/>
          <w:b/>
          <w:i w:val="false"/>
          <w:color w:val="000000"/>
          <w:sz w:val="22"/>
        </w:rPr>
        <w:t xml:space="preserve">Compliance monitoring. </w:t>
      </w:r>
      <w:r>
        <w:rPr>
          <w:rFonts w:ascii="Times New Roman" w:hAnsi="Times New Roman"/>
          <w:b w:val="false"/>
          <w:i w:val="false"/>
          <w:color w:val="000000"/>
          <w:sz w:val="22"/>
        </w:rPr>
        <w:t>Each area agency on aging will develop and implement procedures to monitor the programmatic and fiscal requirements of all programs, service providers and activities. Each area agency on aging will implement procedures to correct deficiencies in programmatic and fiscal performance of all programs, service providers and activities. Each area agency on aging will implement appropriate processes to monitor contracted entities determined to be subrecipients of the area agency on aging’s federal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441—227.12</w:t>
      </w:r>
      <w:r>
        <w:rPr>
          <w:rFonts w:ascii="Times New Roman" w:hAnsi="Times New Roman"/>
          <w:b/>
          <w:i w:val="false"/>
          <w:color w:val="000000"/>
          <w:sz w:val="22"/>
        </w:rPr>
        <w:t xml:space="preserve">(231) </w:t>
      </w:r>
      <w:r>
        <w:rPr>
          <w:rFonts w:ascii="Times New Roman" w:hAnsi="Times New Roman"/>
          <w:b/>
          <w:i w:val="false"/>
          <w:color w:val="000000"/>
          <w:sz w:val="22"/>
        </w:rPr>
        <w:t xml:space="preserve">Quality performance. </w:t>
      </w:r>
      <w:r>
        <w:rPr>
          <w:rFonts w:ascii="Times New Roman" w:hAnsi="Times New Roman"/>
          <w:b w:val="false"/>
          <w:i w:val="false"/>
          <w:color w:val="000000"/>
          <w:sz w:val="22"/>
        </w:rPr>
        <w:t>Each area agency on aging will develop and implement procedures in accordance with 45 CFR 1321 as amended to October 1, 2025, to evaluate and, when necessary, improve the quality and effectiveness of services provided directly by agency staff or contracted service providers.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441—227.13</w:t>
      </w:r>
      <w:r>
        <w:rPr>
          <w:rFonts w:ascii="Times New Roman" w:hAnsi="Times New Roman"/>
          <w:b/>
          <w:i w:val="false"/>
          <w:color w:val="000000"/>
          <w:sz w:val="22"/>
        </w:rPr>
        <w:t xml:space="preserve">(231) </w:t>
      </w:r>
      <w:r>
        <w:rPr>
          <w:rFonts w:ascii="Times New Roman" w:hAnsi="Times New Roman"/>
          <w:b/>
          <w:i w:val="false"/>
          <w:color w:val="000000"/>
          <w:sz w:val="22"/>
        </w:rPr>
        <w:t xml:space="preserve">Data collection, sharing, and confidentiality.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227.13(1)</w:t>
      </w:r>
      <w:r>
        <w:rPr>
          <w:rFonts w:ascii="Times New Roman" w:hAnsi="Times New Roman"/>
          <w:b w:val="false"/>
          <w:i w:val="false"/>
          <w:color w:val="000000"/>
          <w:sz w:val="22"/>
        </w:rPr>
        <w:t> </w:t>
      </w:r>
      <w:r>
        <w:rPr>
          <w:rFonts w:ascii="Times New Roman" w:hAnsi="Times New Roman"/>
          <w:b w:val="false"/>
          <w:i/>
          <w:color w:val="000000"/>
          <w:sz w:val="22"/>
        </w:rPr>
        <w:t xml:space="preserve">Data collection. </w:t>
      </w:r>
      <w:r>
        <w:rPr>
          <w:rFonts w:ascii="Times New Roman" w:hAnsi="Times New Roman"/>
          <w:b w:val="false"/>
          <w:i w:val="false"/>
          <w:color w:val="000000"/>
          <w:sz w:val="22"/>
        </w:rPr>
        <w:t>All data collected as a result of an organization’s designation as an area agency on aging is owned and governed by the department’s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227.13(2)</w:t>
      </w:r>
      <w:r>
        <w:rPr>
          <w:rFonts w:ascii="Times New Roman" w:hAnsi="Times New Roman"/>
          <w:b w:val="false"/>
          <w:i w:val="false"/>
          <w:color w:val="000000"/>
          <w:sz w:val="22"/>
        </w:rPr>
        <w:t> </w:t>
      </w:r>
      <w:r>
        <w:rPr>
          <w:rFonts w:ascii="Times New Roman" w:hAnsi="Times New Roman"/>
          <w:b w:val="false"/>
          <w:i/>
          <w:color w:val="000000"/>
          <w:sz w:val="22"/>
        </w:rPr>
        <w:t xml:space="preserve">Data protection. </w:t>
      </w:r>
      <w:r>
        <w:rPr>
          <w:rFonts w:ascii="Times New Roman" w:hAnsi="Times New Roman"/>
          <w:b w:val="false"/>
          <w:i w:val="false"/>
          <w:color w:val="000000"/>
          <w:sz w:val="22"/>
        </w:rPr>
        <w:t>Each area agency on aging will use appropriate administrative, technical and physical safeguards to protect the confidentiality, integrity and availability of data collected. Each area agency on aging will ensure that staff take appropriate confidentiality trainings and will provide documentation of completed trainings when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227.13(3)</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Each area agency on aging will implement procedures to ensure confidentiality in compliance with 45 CFR 1321 as amended to October 1, 2025, and </w:t>
      </w:r>
      <w:hyperlink r:id="rId11">
        <w:r>
          <w:rPr>
            <w:rStyle w:val="Hyperlink"/>
            <w:rFonts w:ascii="Times New Roman" w:hAnsi="Times New Roman"/>
            <w:b w:val="false"/>
            <w:i w:val="false"/>
            <w:color w:val="000000"/>
            <w:sz w:val="22"/>
          </w:rPr>
          <w:t>441—Chapter 2505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441—227.14</w:t>
      </w:r>
      <w:r>
        <w:rPr>
          <w:rFonts w:ascii="Times New Roman" w:hAnsi="Times New Roman"/>
          <w:b/>
          <w:i w:val="false"/>
          <w:color w:val="000000"/>
          <w:sz w:val="22"/>
        </w:rPr>
        <w:t xml:space="preserve">(231) </w:t>
      </w:r>
      <w:r>
        <w:rPr>
          <w:rFonts w:ascii="Times New Roman" w:hAnsi="Times New Roman"/>
          <w:b/>
          <w:i w:val="false"/>
          <w:color w:val="000000"/>
          <w:sz w:val="22"/>
        </w:rPr>
        <w:t xml:space="preserve">Reporting. </w:t>
      </w:r>
      <w:r>
        <w:rPr>
          <w:rFonts w:ascii="Times New Roman" w:hAnsi="Times New Roman"/>
          <w:b w:val="false"/>
          <w:i w:val="false"/>
          <w:color w:val="000000"/>
          <w:sz w:val="22"/>
        </w:rPr>
        <w:t>Each area agency on aging will submit consumer, service, program, and financial reports in accordance with department policies and procedures and with federal and state reporting requirements. Each area agency on aging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227.14(1)</w:t>
      </w:r>
      <w:r>
        <w:rPr>
          <w:rFonts w:ascii="Times New Roman" w:hAnsi="Times New Roman"/>
          <w:b w:val="false"/>
          <w:i w:val="false"/>
          <w:color w:val="000000"/>
          <w:sz w:val="22"/>
        </w:rPr>
        <w:t> </w:t>
      </w:r>
      <w:r>
        <w:rPr>
          <w:rFonts w:ascii="Times New Roman" w:hAnsi="Times New Roman"/>
          <w:b w:val="false"/>
          <w:i w:val="false"/>
          <w:color w:val="000000"/>
          <w:sz w:val="22"/>
        </w:rPr>
        <w:t>Complete client assessment and data collection, at a minimum, once each fiscal year per 45 CFR 1321 as amended to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227.14(2)</w:t>
      </w:r>
      <w:r>
        <w:rPr>
          <w:rFonts w:ascii="Times New Roman" w:hAnsi="Times New Roman"/>
          <w:b w:val="false"/>
          <w:i w:val="false"/>
          <w:color w:val="000000"/>
          <w:sz w:val="22"/>
        </w:rPr>
        <w:t> </w:t>
      </w:r>
      <w:r>
        <w:rPr>
          <w:rFonts w:ascii="Times New Roman" w:hAnsi="Times New Roman"/>
          <w:b w:val="false"/>
          <w:i w:val="false"/>
          <w:color w:val="000000"/>
          <w:sz w:val="22"/>
        </w:rPr>
        <w:t>Be solely responsible for obtaining and reporting necessary information from subgrantees, contractors and subcontractors.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227.14(3)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accurate program or financial reports by the established due dates, even if waiver is granted. Failure to do so may subject an area agency on aging to remedies provided in rule </w:t>
      </w:r>
      <w:hyperlink r:id="rId12">
        <w:r>
          <w:rPr>
            <w:rStyle w:val="Hyperlink"/>
            <w:rFonts w:ascii="Times New Roman" w:hAnsi="Times New Roman"/>
            <w:b w:val="false"/>
            <w:i w:val="false"/>
            <w:color w:val="000000"/>
            <w:sz w:val="22"/>
          </w:rPr>
          <w:t>441—226.5</w:t>
        </w:r>
      </w:hyperlink>
      <w:r>
        <w:rPr>
          <w:rFonts w:ascii="Times New Roman" w:hAnsi="Times New Roman"/>
          <w:b w:val="false"/>
          <w:i w:val="false"/>
          <w:color w:val="000000"/>
          <w:sz w:val="22"/>
        </w:rPr>
        <w:t>(231).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441—227.15</w:t>
      </w:r>
      <w:r>
        <w:rPr>
          <w:rFonts w:ascii="Times New Roman" w:hAnsi="Times New Roman"/>
          <w:b/>
          <w:i w:val="false"/>
          <w:color w:val="000000"/>
          <w:sz w:val="22"/>
        </w:rPr>
        <w:t xml:space="preserve">(231) </w:t>
      </w:r>
      <w:r>
        <w:rPr>
          <w:rFonts w:ascii="Times New Roman" w:hAnsi="Times New Roman"/>
          <w:b/>
          <w:i w:val="false"/>
          <w:color w:val="000000"/>
          <w:sz w:val="22"/>
        </w:rPr>
        <w:t xml:space="preserve">Emergency and disaster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227.15(1)</w:t>
      </w:r>
      <w:r>
        <w:rPr>
          <w:rFonts w:ascii="Times New Roman" w:hAnsi="Times New Roman"/>
          <w:b w:val="false"/>
          <w:i w:val="false"/>
          <w:color w:val="000000"/>
          <w:sz w:val="22"/>
        </w:rPr>
        <w:t> </w:t>
      </w:r>
      <w:r>
        <w:rPr>
          <w:rFonts w:ascii="Times New Roman" w:hAnsi="Times New Roman"/>
          <w:b w:val="false"/>
          <w:i/>
          <w:color w:val="000000"/>
          <w:sz w:val="22"/>
        </w:rPr>
        <w:t xml:space="preserve">Emergency and disaster plans. </w:t>
      </w:r>
      <w:r>
        <w:rPr>
          <w:rFonts w:ascii="Times New Roman" w:hAnsi="Times New Roman"/>
          <w:b w:val="false"/>
          <w:i w:val="false"/>
          <w:color w:val="000000"/>
          <w:sz w:val="22"/>
        </w:rPr>
        <w:t xml:space="preserve">Each area agency on aging will establish emergency plans in accordance with </w:t>
      </w:r>
      <w:r>
        <w:rPr>
          <w:rFonts w:ascii="Times New Roman" w:hAnsi="Times New Roman"/>
          <w:b w:val="false"/>
          <w:i w:val="false"/>
          <w:color w:val="000000"/>
          <w:sz w:val="22"/>
        </w:rPr>
        <w:t>45 CFR 1321.97</w:t>
      </w:r>
      <w:r>
        <w:rPr>
          <w:rFonts w:ascii="Times New Roman" w:hAnsi="Times New Roman"/>
          <w:b w:val="false"/>
          <w:i w:val="false"/>
          <w:color w:val="000000"/>
          <w:sz w:val="22"/>
        </w:rPr>
        <w:t xml:space="preserve"> as amended to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227.15(2)</w:t>
      </w:r>
      <w:r>
        <w:rPr>
          <w:rFonts w:ascii="Times New Roman" w:hAnsi="Times New Roman"/>
          <w:b w:val="false"/>
          <w:i w:val="false"/>
          <w:color w:val="000000"/>
          <w:sz w:val="22"/>
        </w:rPr>
        <w:t> </w:t>
      </w:r>
      <w:r>
        <w:rPr>
          <w:rFonts w:ascii="Times New Roman" w:hAnsi="Times New Roman"/>
          <w:b w:val="false"/>
          <w:i/>
          <w:color w:val="000000"/>
          <w:sz w:val="22"/>
        </w:rPr>
        <w:t xml:space="preserve">Service coordination. </w:t>
      </w:r>
      <w:r>
        <w:rPr>
          <w:rFonts w:ascii="Times New Roman" w:hAnsi="Times New Roman"/>
          <w:b w:val="false"/>
          <w:i w:val="false"/>
          <w:color w:val="000000"/>
          <w:sz w:val="22"/>
        </w:rPr>
        <w:t>For continuity of services to individuals, each area agency on aging will coordinate with federal, local, and state emergency response agencies; service providers; relief organizations; local and state governments; and any other entities that have responsibility for disaster relief service delivery, as well as with tribal emergency management, as appropriate, to plan, respond, and recover from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227.15(3)</w:t>
      </w:r>
      <w:r>
        <w:rPr>
          <w:rFonts w:ascii="Times New Roman" w:hAnsi="Times New Roman"/>
          <w:b w:val="false"/>
          <w:i w:val="false"/>
          <w:color w:val="000000"/>
          <w:sz w:val="22"/>
        </w:rPr>
        <w:t> </w:t>
      </w:r>
      <w:r>
        <w:rPr>
          <w:rFonts w:ascii="Times New Roman" w:hAnsi="Times New Roman"/>
          <w:b w:val="false"/>
          <w:i/>
          <w:color w:val="000000"/>
          <w:sz w:val="22"/>
        </w:rPr>
        <w:t xml:space="preserve">Coordination with Title VI programs. </w:t>
      </w:r>
      <w:r>
        <w:rPr>
          <w:rFonts w:ascii="Times New Roman" w:hAnsi="Times New Roman"/>
          <w:b w:val="false"/>
          <w:i w:val="false"/>
          <w:color w:val="000000"/>
          <w:sz w:val="22"/>
        </w:rPr>
        <w:t>Area agencies on aging that have Title VI programs in operation within their PSA will have policies and procedures, developed in communication with the relevant Title VI program director(s) as set forth in 45 CFR 1322 as amended to October 1, 2025, in place for communication and coordination methods with Title VI programs regarding emergency and disaster preparedness planning, response, and recovery.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441—227.16</w:t>
      </w:r>
      <w:r>
        <w:rPr>
          <w:rFonts w:ascii="Times New Roman" w:hAnsi="Times New Roman"/>
          <w:b/>
          <w:i w:val="false"/>
          <w:color w:val="000000"/>
          <w:sz w:val="22"/>
        </w:rPr>
        <w:t xml:space="preserve">(231) </w:t>
      </w:r>
      <w:r>
        <w:rPr>
          <w:rFonts w:ascii="Times New Roman" w:hAnsi="Times New Roman"/>
          <w:b/>
          <w:i w:val="false"/>
          <w:color w:val="000000"/>
          <w:sz w:val="22"/>
        </w:rPr>
        <w:t xml:space="preserve">Direct service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227.16(1)</w:t>
      </w:r>
      <w:r>
        <w:rPr>
          <w:rFonts w:ascii="Times New Roman" w:hAnsi="Times New Roman"/>
          <w:b w:val="false"/>
          <w:i w:val="false"/>
          <w:color w:val="000000"/>
          <w:sz w:val="22"/>
        </w:rPr>
        <w:t> </w:t>
      </w:r>
      <w:r>
        <w:rPr>
          <w:rFonts w:ascii="Times New Roman" w:hAnsi="Times New Roman"/>
          <w:b w:val="false"/>
          <w:i w:val="false"/>
          <w:color w:val="000000"/>
          <w:sz w:val="22"/>
        </w:rPr>
        <w:t>An area agency on aging will not provide a direct service as defined in 45 CFR 1321 as amended to October 1, 2025, except as allowed by the department pursuant to the requirements identified in the federal Act and 45 CFR 1321 as amended to October 1, 2025. The department in its judgment may allow an area agency on aging to provide any service directly when the area agency on aging demonstrates in its direct service request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Direct provision of service is necessary to ensure an adequate supply of the service and no potential provider was identified during the public hearing process;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service will be of comparable quality in the view of the area agency on aging advisory council and will meet or exceed service standards developed by the area agency on aging;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area agency on aging can provide a service of equal quality at lower cost than another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227.16(2)</w:t>
      </w:r>
      <w:r>
        <w:rPr>
          <w:rFonts w:ascii="Times New Roman" w:hAnsi="Times New Roman"/>
          <w:b w:val="false"/>
          <w:i w:val="false"/>
          <w:color w:val="000000"/>
          <w:sz w:val="22"/>
        </w:rPr>
        <w:t> </w:t>
      </w:r>
      <w:r>
        <w:rPr>
          <w:rFonts w:ascii="Times New Roman" w:hAnsi="Times New Roman"/>
          <w:b w:val="false"/>
          <w:i w:val="false"/>
          <w:color w:val="000000"/>
          <w:sz w:val="22"/>
        </w:rPr>
        <w:t>The department may waive the conditions for direct service provision for case management, information and assistance services, and outreach services per 45 CFR 1321 as amended to October 1,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441—227.17</w:t>
      </w:r>
      <w:r>
        <w:rPr>
          <w:rFonts w:ascii="Times New Roman" w:hAnsi="Times New Roman"/>
          <w:b/>
          <w:i w:val="false"/>
          <w:color w:val="000000"/>
          <w:sz w:val="22"/>
        </w:rPr>
        <w:t xml:space="preserve">(231) </w:t>
      </w:r>
      <w:r>
        <w:rPr>
          <w:rFonts w:ascii="Times New Roman" w:hAnsi="Times New Roman"/>
          <w:b/>
          <w:i w:val="false"/>
          <w:color w:val="000000"/>
          <w:sz w:val="22"/>
        </w:rPr>
        <w:t xml:space="preserve">Grievance. </w:t>
      </w:r>
      <w:r>
        <w:rPr>
          <w:rFonts w:ascii="Times New Roman" w:hAnsi="Times New Roman"/>
          <w:b w:val="false"/>
          <w:i w:val="false"/>
          <w:color w:val="000000"/>
          <w:sz w:val="22"/>
        </w:rPr>
        <w:t>Each area agency on aging will implement grievance procedures in compliance with 45 CFR 1321 as amended to October 1, 2025. Those grievance procedures shall contain at least the following procedures for resolution: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Acknowledgment of grievance.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Process for attempting to informally resolve dispute.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Notification of the outcome of the grievance.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Opportunity to submit the grievance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9495C</w:t>
      </w:r>
      <w:r>
        <w:rPr>
          <w:rFonts w:ascii="Times New Roman" w:hAnsi="Times New Roman"/>
          <w:b w:val="false"/>
          <w:i w:val="false"/>
          <w:color w:val="000000"/>
          <w:sz w:val="21"/>
        </w:rPr>
        <w:t xml:space="preserve"> (Notice ARC 9375C, IAB 6/25/25)</w:t>
      </w:r>
      <w:r>
        <w:rPr>
          <w:rFonts w:ascii="Times New Roman" w:hAnsi="Times New Roman"/>
          <w:b w:val="false"/>
          <w:i w:val="false"/>
          <w:color w:val="000000"/>
          <w:sz w:val="21"/>
        </w:rPr>
        <w:t>, IAB 8/20/25, effective 10/1/25]</w:t>
      </w:r>
    </w:p>
    <w:p>
      <w:pPr>
        <w:spacing w:before="0" w:after="0"/>
        <w:ind w:left="120"/>
        <w:jc w:val="center"/>
      </w:pPr>
      <w:r>
        <w:rPr>
          <w:rFonts w:ascii="Times New Roman" w:hAnsi="Times New Roman"/>
          <w:b w:val="false"/>
          <w:i w:val="false"/>
          <w:color w:val="000000"/>
          <w:sz w:val="21"/>
        </w:rPr>
        <w:t>[Editorial change: IAC Supplement 6/10/26]</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1.pdf" Type="http://schemas.openxmlformats.org/officeDocument/2006/relationships/hyperlink" Id="rId5"/>
    <Relationship TargetMode="External" Target="https://www.legis.iowa.gov/docs/iac/rule/441.224.1.pdf" Type="http://schemas.openxmlformats.org/officeDocument/2006/relationships/hyperlink" Id="rId6"/>
    <Relationship TargetMode="External" Target="https://www.legis.iowa.gov/docs/ico/chapter/231.23.pdf" Type="http://schemas.openxmlformats.org/officeDocument/2006/relationships/hyperlink" Id="rId7"/>
    <Relationship TargetMode="External" Target="https://www.legis.iowa.gov/docs/ico/chapter/21.4.pdf" Type="http://schemas.openxmlformats.org/officeDocument/2006/relationships/hyperlink" Id="rId8"/>
    <Relationship TargetMode="External" Target="https://www.legis.iowa.gov/docs/ico/chapter/231.pdf" Type="http://schemas.openxmlformats.org/officeDocument/2006/relationships/hyperlink" Id="rId9"/>
    <Relationship TargetMode="External" Target="https://www.legis.iowa.gov/docs/iac/rule/441.225.3.pdf" Type="http://schemas.openxmlformats.org/officeDocument/2006/relationships/hyperlink" Id="rId10"/>
    <Relationship TargetMode="External" Target="https://www.legis.iowa.gov/docs/iac/chapter/441.2505.pdf" Type="http://schemas.openxmlformats.org/officeDocument/2006/relationships/hyperlink" Id="rId11"/>
    <Relationship TargetMode="External" Target="https://www.legis.iowa.gov/docs/iac/rule/441.226.5.pdf" Type="http://schemas.openxmlformats.org/officeDocument/2006/relationships/hyperlink" Id="rId12"/>
    <Relationship TargetMode="External" Target="https://www.legis.iowa.gov/docs/ico/chapter/231.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