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225</w:t>
      </w:r>
    </w:p>
    <w:p>
      <w:pPr>
        <w:spacing w:before="0" w:after="0"/>
        <w:ind w:left="120"/>
        <w:jc w:val="center"/>
      </w:pPr>
      <w:r>
        <w:rPr>
          <w:rFonts w:ascii="Times New Roman" w:hAnsi="Times New Roman"/>
          <w:b w:val="false"/>
          <w:i w:val="false"/>
          <w:color w:val="000000"/>
          <w:sz w:val="21"/>
        </w:rPr>
        <w:t>AGING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10/1/30</w:t>
      </w:r>
    </w:p>
    <w:p>
      <w:pPr>
        <w:spacing w:before="0" w:after="0"/>
        <w:ind w:left="120"/>
        <w:jc w:val="both"/>
      </w:pPr>
      <w:r>
        <w:rPr>
          <w:rFonts w:ascii="Times New Roman" w:hAnsi="Times New Roman"/>
          <w:b/>
          <w:i w:val="false"/>
          <w:color w:val="000000"/>
          <w:sz w:val="22"/>
        </w:rPr>
        <w:t>441—225.1</w:t>
      </w:r>
      <w:r>
        <w:rPr>
          <w:rFonts w:ascii="Times New Roman" w:hAnsi="Times New Roman"/>
          <w:b/>
          <w:i w:val="false"/>
          <w:color w:val="000000"/>
          <w:sz w:val="22"/>
        </w:rPr>
        <w:t xml:space="preserve">(231)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The rules set forth in the chapters under the jurisdiction of the department apply to all grants awarded to any recipient through the department and to any entities regulated by the department. Compliance with these rules is mandatory unless a waiver is granted in accordance with the procedures in </w:t>
      </w:r>
      <w:hyperlink r:id="rId5">
        <w:r>
          <w:rPr>
            <w:rStyle w:val="Hyperlink"/>
            <w:rFonts w:ascii="Times New Roman" w:hAnsi="Times New Roman"/>
            <w:b w:val="false"/>
            <w:i w:val="false"/>
            <w:color w:val="000000"/>
            <w:sz w:val="22"/>
          </w:rPr>
          <w:t>441—Chapter 2504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441—225.2</w:t>
      </w:r>
      <w:r>
        <w:rPr>
          <w:rFonts w:ascii="Times New Roman" w:hAnsi="Times New Roman"/>
          <w:b/>
          <w:i w:val="false"/>
          <w:color w:val="000000"/>
          <w:sz w:val="22"/>
        </w:rPr>
        <w:t xml:space="preserve">(231)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w:t>
      </w:r>
      <w:hyperlink r:id="rId6">
        <w:r>
          <w:rPr>
            <w:rStyle w:val="Hyperlink"/>
            <w:rFonts w:ascii="Times New Roman" w:hAnsi="Times New Roman"/>
            <w:b w:val="false"/>
            <w:i w:val="false"/>
            <w:color w:val="000000"/>
            <w:sz w:val="22"/>
          </w:rPr>
          <w:t>441—Chapters 225</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unless otherwise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“Administration on Aging”</w:t>
      </w:r>
      <w:r>
        <w:rPr>
          <w:rFonts w:ascii="Times New Roman" w:hAnsi="Times New Roman"/>
          <w:b w:val="false"/>
          <w:i w:val="false"/>
          <w:color w:val="000000"/>
          <w:sz w:val="22"/>
        </w:rPr>
        <w:t> </w:t>
      </w:r>
      <w:r>
        <w:rPr>
          <w:rFonts w:ascii="Times New Roman" w:hAnsi="Times New Roman"/>
          <w:b w:val="false"/>
          <w:i w:val="false"/>
          <w:color w:val="000000"/>
          <w:sz w:val="22"/>
        </w:rPr>
        <w:t>means the federal agency established to administer the provisions of the federal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“Dietitian”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“licensed dietitian”</w:t>
      </w:r>
      <w:r>
        <w:rPr>
          <w:rFonts w:ascii="Times New Roman" w:hAnsi="Times New Roman"/>
          <w:b w:val="false"/>
          <w:i w:val="false"/>
          <w:color w:val="000000"/>
          <w:sz w:val="22"/>
        </w:rPr>
        <w:t> </w:t>
      </w:r>
      <w:r>
        <w:rPr>
          <w:rFonts w:ascii="Times New Roman" w:hAnsi="Times New Roman"/>
          <w:b w:val="false"/>
          <w:i w:val="false"/>
          <w:color w:val="000000"/>
          <w:sz w:val="22"/>
        </w:rPr>
        <w:t>means a person who maintains a license granted by the Iowa board of dietetics.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“Federal Act”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Older Americans Act, </w:t>
      </w:r>
      <w:r>
        <w:rPr>
          <w:rFonts w:ascii="Times New Roman" w:hAnsi="Times New Roman"/>
          <w:b w:val="false"/>
          <w:i w:val="false"/>
          <w:color w:val="000000"/>
          <w:sz w:val="22"/>
        </w:rPr>
        <w:t>42 U.S.C. §3001 et seq.</w:t>
      </w:r>
      <w:r>
        <w:rPr>
          <w:rFonts w:ascii="Times New Roman" w:hAnsi="Times New Roman"/>
          <w:b w:val="false"/>
          <w:i w:val="false"/>
          <w:color w:val="000000"/>
          <w:sz w:val="22"/>
        </w:rPr>
        <w:t>, as amended to October 1, 2025, and all references herein are as amended to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“Plan of correction”</w:t>
      </w:r>
      <w:r>
        <w:rPr>
          <w:rFonts w:ascii="Times New Roman" w:hAnsi="Times New Roman"/>
          <w:b w:val="false"/>
          <w:i w:val="false"/>
          <w:color w:val="000000"/>
          <w:sz w:val="22"/>
        </w:rPr>
        <w:t> </w:t>
      </w:r>
      <w:r>
        <w:rPr>
          <w:rFonts w:ascii="Times New Roman" w:hAnsi="Times New Roman"/>
          <w:b w:val="false"/>
          <w:i w:val="false"/>
          <w:color w:val="000000"/>
          <w:sz w:val="22"/>
        </w:rPr>
        <w:t>means a plan developed by an area agency on aging and approved by the department that describes the actions the area agency on aging shall take to correct deficiencies arising from the agency’s failure to perform and specifies the date by which those deficiencies shall be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“Title”</w:t>
      </w:r>
      <w:r>
        <w:rPr>
          <w:rFonts w:ascii="Times New Roman" w:hAnsi="Times New Roman"/>
          <w:b w:val="false"/>
          <w:i w:val="false"/>
          <w:color w:val="000000"/>
          <w:sz w:val="22"/>
        </w:rPr>
        <w:t> </w:t>
      </w:r>
      <w:r>
        <w:rPr>
          <w:rFonts w:ascii="Times New Roman" w:hAnsi="Times New Roman"/>
          <w:b w:val="false"/>
          <w:i w:val="false"/>
          <w:color w:val="000000"/>
          <w:sz w:val="22"/>
        </w:rPr>
        <w:t>means a specific title of the federal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225.2(2)</w:t>
      </w:r>
      <w:r>
        <w:rPr>
          <w:rFonts w:ascii="Times New Roman" w:hAnsi="Times New Roman"/>
          <w:b w:val="false"/>
          <w:i w:val="false"/>
          <w:color w:val="000000"/>
          <w:sz w:val="22"/>
        </w:rPr>
        <w:t> </w:t>
      </w:r>
      <w:r>
        <w:rPr>
          <w:rFonts w:ascii="Times New Roman" w:hAnsi="Times New Roman"/>
          <w:b w:val="false"/>
          <w:i/>
          <w:color w:val="000000"/>
          <w:sz w:val="22"/>
        </w:rPr>
        <w:t xml:space="preserve">Definitions adopted by reference. </w:t>
      </w:r>
      <w:r>
        <w:rPr>
          <w:rFonts w:ascii="Times New Roman" w:hAnsi="Times New Roman"/>
          <w:b w:val="false"/>
          <w:i w:val="false"/>
          <w:color w:val="000000"/>
          <w:sz w:val="22"/>
        </w:rPr>
        <w:t>The following terms have the same meaning as defined in the federal Act and 45 CFR 1321 as amended to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“Abuse”</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“Access”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“access services”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“Area agency on aging”</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“Area plan on aging”</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“Elder abuse”</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 caregiver”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“Greatest economic need”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“Greatest social need”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“In-home services”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“Legal assistance”</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“Multipurpose senior center”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“Neglect”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“Planning and service area (PSA)”</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provider”</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plan on aging”</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“Tribal organization”</w:t>
      </w:r>
      <w:r>
        <w:rPr>
          <w:rFonts w:ascii="Times New Roman" w:hAnsi="Times New Roman"/>
          <w:b w:val="false"/>
          <w:i w:val="false"/>
          <w:color w:val="000000"/>
          <w:sz w:val="22"/>
        </w:rPr>
        <w: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441—225.3</w:t>
      </w:r>
      <w:r>
        <w:rPr>
          <w:rFonts w:ascii="Times New Roman" w:hAnsi="Times New Roman"/>
          <w:b/>
          <w:i w:val="false"/>
          <w:color w:val="000000"/>
          <w:sz w:val="22"/>
        </w:rPr>
        <w:t xml:space="preserve">(231) </w:t>
      </w:r>
      <w:r>
        <w:rPr>
          <w:rFonts w:ascii="Times New Roman" w:hAnsi="Times New Roman"/>
          <w:b/>
          <w:i w:val="false"/>
          <w:color w:val="000000"/>
          <w:sz w:val="22"/>
        </w:rPr>
        <w:t xml:space="preserve">Aging network. </w:t>
      </w:r>
      <w:r>
        <w:rPr>
          <w:rFonts w:ascii="Times New Roman" w:hAnsi="Times New Roman"/>
          <w:b w:val="false"/>
          <w:i w:val="false"/>
          <w:color w:val="000000"/>
          <w:sz w:val="22"/>
        </w:rPr>
        <w:t>Aging services are delivered through the aging network, which consists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state unit on aging, </w:t>
      </w:r>
      <w:hyperlink r:id="rId8">
        <w:r>
          <w:rPr>
            <w:rStyle w:val="Hyperlink"/>
            <w:rFonts w:ascii="Times New Roman" w:hAnsi="Times New Roman"/>
            <w:b w:val="false"/>
            <w:i w:val="false"/>
            <w:color w:val="000000"/>
            <w:sz w:val="22"/>
          </w:rPr>
          <w:t>441—Chapter 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Area agencies on aging, </w:t>
      </w:r>
      <w:hyperlink r:id="rId9">
        <w:r>
          <w:rPr>
            <w:rStyle w:val="Hyperlink"/>
            <w:rFonts w:ascii="Times New Roman" w:hAnsi="Times New Roman"/>
            <w:b w:val="false"/>
            <w:i w:val="false"/>
            <w:color w:val="000000"/>
            <w:sz w:val="22"/>
          </w:rPr>
          <w:t>441—Chapter 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Service providers;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Office of the state long-term care ombudsman, </w:t>
      </w:r>
      <w:hyperlink r:id="rId10">
        <w:r>
          <w:rPr>
            <w:rStyle w:val="Hyperlink"/>
            <w:rFonts w:ascii="Times New Roman" w:hAnsi="Times New Roman"/>
            <w:b w:val="false"/>
            <w:i w:val="false"/>
            <w:color w:val="000000"/>
            <w:sz w:val="22"/>
          </w:rPr>
          <w:t>441—Chapter 230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Aging and disability resource centers, </w:t>
      </w:r>
      <w:hyperlink r:id="rId11">
        <w:r>
          <w:rPr>
            <w:rStyle w:val="Hyperlink"/>
            <w:rFonts w:ascii="Times New Roman" w:hAnsi="Times New Roman"/>
            <w:b w:val="false"/>
            <w:i w:val="false"/>
            <w:color w:val="000000"/>
            <w:sz w:val="22"/>
          </w:rPr>
          <w:t>441—Chapter 224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441—225.4</w:t>
      </w:r>
      <w:r>
        <w:rPr>
          <w:rFonts w:ascii="Times New Roman" w:hAnsi="Times New Roman"/>
          <w:b/>
          <w:i w:val="false"/>
          <w:color w:val="000000"/>
          <w:sz w:val="22"/>
        </w:rPr>
        <w:t xml:space="preserve">(231) </w:t>
      </w:r>
      <w:r>
        <w:rPr>
          <w:rFonts w:ascii="Times New Roman" w:hAnsi="Times New Roman"/>
          <w:b/>
          <w:i w:val="false"/>
          <w:color w:val="000000"/>
          <w:sz w:val="22"/>
        </w:rPr>
        <w:t xml:space="preserve">Conflict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225.4(1)</w:t>
      </w:r>
      <w:r>
        <w:rPr>
          <w:rFonts w:ascii="Times New Roman" w:hAnsi="Times New Roman"/>
          <w:b w:val="false"/>
          <w:i w:val="false"/>
          <w:color w:val="000000"/>
          <w:sz w:val="22"/>
        </w:rPr>
        <w:t> </w:t>
      </w:r>
      <w:r>
        <w:rPr>
          <w:rFonts w:ascii="Times New Roman" w:hAnsi="Times New Roman"/>
          <w:b w:val="false"/>
          <w:i w:val="false"/>
          <w:color w:val="000000"/>
          <w:sz w:val="22"/>
        </w:rPr>
        <w:t>Conflict of interest includes any action or failure to act made by the state unit on aging, an area agency on aging, a service provider, a contractor, or a legal representative that may be an actual or perceived conflict between official duties and personal interest. Conflict of interest exists when any action made for program purposes by any entity or individual holding an official position or performing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Results in a situation that interferes with a program’s or program employee’s or representative’s ability to provide objective information or act in the best interests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Uses an official position for private gain (other than salary).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Gives preferential treatment to any entity, contractor, or individual or fails to act impartially in the conduct of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Impedes or adversely affects governmental efficiency or economy.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Engages in conduct that could adversely affect the confidence of the public in the integrity of the program initiatives.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Creates circumstances where it might reasonably be perceived that an entity’s or individual’s judgment could be influenced by the nature of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Uses any property of the individual giving care or the individual receiving care for personal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Leads to decisions that are or have the appearance of being contrary to duties of the aging network, the state plan, or 45 CFR 1321 as amended to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225.4(2)</w:t>
      </w:r>
      <w:r>
        <w:rPr>
          <w:rFonts w:ascii="Times New Roman" w:hAnsi="Times New Roman"/>
          <w:b w:val="false"/>
          <w:i w:val="false"/>
          <w:color w:val="000000"/>
          <w:sz w:val="22"/>
        </w:rPr>
        <w:t> </w:t>
      </w:r>
      <w:r>
        <w:rPr>
          <w:rFonts w:ascii="Times New Roman" w:hAnsi="Times New Roman"/>
          <w:b w:val="false"/>
          <w:i w:val="false"/>
          <w:color w:val="000000"/>
          <w:sz w:val="22"/>
        </w:rPr>
        <w:t>The state unit on aging will have policies and procedures in effect to avoid conflicts of interest in accordance with 45 CFR 1321 as amended to October 1,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2">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9495C</w:t>
      </w:r>
      <w:r>
        <w:rPr>
          <w:rFonts w:ascii="Times New Roman" w:hAnsi="Times New Roman"/>
          <w:b w:val="false"/>
          <w:i w:val="false"/>
          <w:color w:val="000000"/>
          <w:sz w:val="21"/>
        </w:rPr>
        <w:t xml:space="preserve"> (Notice ARC 9375C, IAB 6/25/25)</w:t>
      </w:r>
      <w:r>
        <w:rPr>
          <w:rFonts w:ascii="Times New Roman" w:hAnsi="Times New Roman"/>
          <w:b w:val="false"/>
          <w:i w:val="false"/>
          <w:color w:val="000000"/>
          <w:sz w:val="21"/>
        </w:rPr>
        <w:t>, IAB 8/20/25, effective 10/1/25]</w:t>
      </w:r>
    </w:p>
    <w:p>
      <w:pPr>
        <w:spacing w:before="0" w:after="0"/>
        <w:ind w:left="120"/>
        <w:jc w:val="center"/>
      </w:pPr>
      <w:r>
        <w:rPr>
          <w:rFonts w:ascii="Times New Roman" w:hAnsi="Times New Roman"/>
          <w:b w:val="false"/>
          <w:i w:val="false"/>
          <w:color w:val="000000"/>
          <w:sz w:val="21"/>
        </w:rPr>
        <w:t>[Editorial change: IAC Supplement 6/10/26]</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2504.pdf" Type="http://schemas.openxmlformats.org/officeDocument/2006/relationships/hyperlink" Id="rId5"/>
    <Relationship TargetMode="External" Target="https://www.legis.iowa.gov/docs/iac/chapter/441.225.pdf" Type="http://schemas.openxmlformats.org/officeDocument/2006/relationships/hyperlink" Id="rId6"/>
    <Relationship TargetMode="External" Target="https://www.legis.iowa.gov/docs/iac/chapter/441.229.pdf" Type="http://schemas.openxmlformats.org/officeDocument/2006/relationships/hyperlink" Id="rId7"/>
    <Relationship TargetMode="External" Target="https://www.legis.iowa.gov/docs/iac/chapter/441.226.pdf" Type="http://schemas.openxmlformats.org/officeDocument/2006/relationships/hyperlink" Id="rId8"/>
    <Relationship TargetMode="External" Target="https://www.legis.iowa.gov/docs/iac/chapter/441.227.pdf" Type="http://schemas.openxmlformats.org/officeDocument/2006/relationships/hyperlink" Id="rId9"/>
    <Relationship TargetMode="External" Target="https://www.legis.iowa.gov/docs/iac/chapter/441.230.pdf" Type="http://schemas.openxmlformats.org/officeDocument/2006/relationships/hyperlink" Id="rId10"/>
    <Relationship TargetMode="External" Target="https://www.legis.iowa.gov/docs/iac/chapter/441.224.pdf" Type="http://schemas.openxmlformats.org/officeDocument/2006/relationships/hyperlink" Id="rId11"/>
    <Relationship TargetMode="External" Target="https://www.legis.iowa.gov/docs/ico/chapter/231.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